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0A523" w14:textId="66C1A62C" w:rsidR="0012388D" w:rsidRDefault="00772BDC" w:rsidP="00510B7A">
      <w:pPr>
        <w:spacing w:before="120" w:after="120"/>
        <w:rPr>
          <w:rFonts w:cs="Arial"/>
        </w:rPr>
      </w:pPr>
      <w:r>
        <w:rPr>
          <w:rFonts w:cs="Arial"/>
          <w:noProof/>
          <w:lang w:eastAsia="en-GB" w:bidi="ar-SA"/>
        </w:rPr>
        <w:drawing>
          <wp:inline distT="0" distB="0" distL="0" distR="0" wp14:anchorId="32DB846A" wp14:editId="2E10D734">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5"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0738E62D" w14:textId="77777777" w:rsidR="00B748D3" w:rsidRPr="0045236D" w:rsidRDefault="00B748D3" w:rsidP="00B748D3">
      <w:pPr>
        <w:spacing w:before="0" w:beforeAutospacing="0" w:after="0" w:afterAutospacing="0"/>
      </w:pPr>
    </w:p>
    <w:p w14:paraId="2CE30CDD" w14:textId="26D5791F" w:rsidR="00B748D3" w:rsidRPr="0045236D" w:rsidRDefault="0045236D" w:rsidP="00B748D3">
      <w:pPr>
        <w:spacing w:before="0" w:beforeAutospacing="0" w:after="0" w:afterAutospacing="0"/>
        <w:rPr>
          <w:b/>
          <w:sz w:val="28"/>
          <w:szCs w:val="28"/>
        </w:rPr>
      </w:pPr>
      <w:r w:rsidRPr="0045236D">
        <w:rPr>
          <w:b/>
          <w:sz w:val="28"/>
          <w:szCs w:val="28"/>
        </w:rPr>
        <w:t>6 May 2022</w:t>
      </w:r>
    </w:p>
    <w:p w14:paraId="1D713CD3" w14:textId="013E4258" w:rsidR="00B748D3" w:rsidRPr="0045236D" w:rsidRDefault="0045236D" w:rsidP="00B748D3">
      <w:pPr>
        <w:spacing w:before="0" w:beforeAutospacing="0" w:after="0" w:afterAutospacing="0"/>
        <w:rPr>
          <w:b/>
          <w:sz w:val="28"/>
          <w:szCs w:val="28"/>
        </w:rPr>
      </w:pPr>
      <w:r w:rsidRPr="0045236D">
        <w:rPr>
          <w:b/>
          <w:sz w:val="28"/>
          <w:szCs w:val="28"/>
        </w:rPr>
        <w:t>199-22</w:t>
      </w:r>
    </w:p>
    <w:p w14:paraId="63744F20" w14:textId="5B624908" w:rsidR="003A7B84" w:rsidRPr="00CA5734" w:rsidRDefault="00B425AA" w:rsidP="00B748D3">
      <w:pPr>
        <w:pStyle w:val="FSTitle"/>
      </w:pPr>
      <w:r w:rsidRPr="00EE76E1">
        <w:t>A</w:t>
      </w:r>
      <w:r w:rsidR="00DD265C" w:rsidRPr="00EE76E1">
        <w:t>pproval</w:t>
      </w:r>
      <w:r w:rsidRPr="00EE76E1">
        <w:t xml:space="preserve"> </w:t>
      </w:r>
      <w:r w:rsidR="00B412A1">
        <w:t>R</w:t>
      </w:r>
      <w:r w:rsidR="00B412A1" w:rsidRPr="00EE76E1">
        <w:t xml:space="preserve">eport </w:t>
      </w:r>
      <w:r w:rsidRPr="00EE76E1">
        <w:t>–</w:t>
      </w:r>
      <w:r w:rsidRPr="000B427A">
        <w:t xml:space="preserve"> </w:t>
      </w:r>
      <w:r w:rsidR="00EE76E1" w:rsidRPr="004F721D">
        <w:t>Application A1</w:t>
      </w:r>
      <w:r w:rsidR="000E2346">
        <w:t>233</w:t>
      </w:r>
    </w:p>
    <w:p w14:paraId="0AE49723" w14:textId="77777777" w:rsidR="000E2346" w:rsidRPr="000E2346" w:rsidRDefault="000E2346" w:rsidP="00B748D3">
      <w:pPr>
        <w:pStyle w:val="FSTitle"/>
      </w:pPr>
      <w:r w:rsidRPr="000E2346">
        <w:t>2′-FL from new GM source for infant formula</w:t>
      </w:r>
    </w:p>
    <w:p w14:paraId="79002CFB" w14:textId="77777777" w:rsidR="003A7B84" w:rsidRPr="00E327A6" w:rsidRDefault="003A7B84" w:rsidP="00510B7A">
      <w:pPr>
        <w:pBdr>
          <w:bottom w:val="single" w:sz="12" w:space="1" w:color="auto"/>
        </w:pBdr>
        <w:tabs>
          <w:tab w:val="left" w:pos="1140"/>
        </w:tabs>
        <w:spacing w:before="120" w:after="120"/>
        <w:rPr>
          <w:rFonts w:cs="Arial"/>
          <w:bCs/>
        </w:rPr>
      </w:pPr>
    </w:p>
    <w:p w14:paraId="14F32D9E" w14:textId="4A6F921F" w:rsidR="00CA5734" w:rsidRPr="00DE5CC1" w:rsidRDefault="00EE76E1" w:rsidP="00510B7A">
      <w:pPr>
        <w:spacing w:before="120" w:after="120"/>
        <w:rPr>
          <w:szCs w:val="22"/>
        </w:rPr>
      </w:pPr>
      <w:r w:rsidRPr="0052465A">
        <w:rPr>
          <w:szCs w:val="22"/>
        </w:rPr>
        <w:t xml:space="preserve">Food Standards Australia New Zealand (FSANZ) </w:t>
      </w:r>
      <w:r w:rsidRPr="00EE76E1">
        <w:rPr>
          <w:szCs w:val="22"/>
        </w:rPr>
        <w:t>has assessed</w:t>
      </w:r>
      <w:r w:rsidR="00E3157C">
        <w:rPr>
          <w:szCs w:val="22"/>
        </w:rPr>
        <w:t xml:space="preserve"> an application</w:t>
      </w:r>
      <w:r w:rsidRPr="00EE76E1">
        <w:rPr>
          <w:szCs w:val="22"/>
        </w:rPr>
        <w:t xml:space="preserve"> </w:t>
      </w:r>
      <w:r w:rsidR="00B81A42">
        <w:t xml:space="preserve">by </w:t>
      </w:r>
      <w:r w:rsidR="00233808" w:rsidRPr="00233808">
        <w:t xml:space="preserve">Friesland Campina Ingredients </w:t>
      </w:r>
      <w:r w:rsidR="00233808" w:rsidRPr="00233808">
        <w:rPr>
          <w:szCs w:val="22"/>
        </w:rPr>
        <w:t>seeking to permit the sale and use of 2</w:t>
      </w:r>
      <w:r w:rsidR="00CB3F3E">
        <w:rPr>
          <w:rFonts w:cs="Arial"/>
          <w:szCs w:val="22"/>
        </w:rPr>
        <w:t>ʹ</w:t>
      </w:r>
      <w:r w:rsidR="00233808" w:rsidRPr="00233808">
        <w:rPr>
          <w:szCs w:val="22"/>
        </w:rPr>
        <w:t xml:space="preserve">-fucosyllactose (2′-FL) derived from a new genetically modified </w:t>
      </w:r>
      <w:r w:rsidR="00233808" w:rsidRPr="00CB3F3E">
        <w:rPr>
          <w:i/>
          <w:szCs w:val="22"/>
        </w:rPr>
        <w:t>Escherichia coli</w:t>
      </w:r>
      <w:r w:rsidR="00233808" w:rsidRPr="00233808">
        <w:rPr>
          <w:szCs w:val="22"/>
        </w:rPr>
        <w:t xml:space="preserve"> (</w:t>
      </w:r>
      <w:r w:rsidR="00233808" w:rsidRPr="00CB3F3E">
        <w:rPr>
          <w:i/>
          <w:szCs w:val="22"/>
        </w:rPr>
        <w:t>E.coli</w:t>
      </w:r>
      <w:r w:rsidR="00233808" w:rsidRPr="00233808">
        <w:rPr>
          <w:szCs w:val="22"/>
        </w:rPr>
        <w:t>) strain as a nutritive subst</w:t>
      </w:r>
      <w:r w:rsidR="00233808">
        <w:rPr>
          <w:szCs w:val="22"/>
        </w:rPr>
        <w:t>ance in infant formula products</w:t>
      </w:r>
      <w:r w:rsidRPr="00EE76E1">
        <w:rPr>
          <w:szCs w:val="22"/>
        </w:rPr>
        <w:t>.</w:t>
      </w:r>
      <w:r w:rsidR="00DE5CC1">
        <w:rPr>
          <w:szCs w:val="22"/>
        </w:rPr>
        <w:t xml:space="preserve"> </w:t>
      </w:r>
    </w:p>
    <w:p w14:paraId="6F926C97" w14:textId="64FA3AF5" w:rsidR="00CA5734" w:rsidRPr="0045236D" w:rsidRDefault="00081B0A" w:rsidP="00510B7A">
      <w:pPr>
        <w:spacing w:before="120" w:after="120"/>
      </w:pPr>
      <w:r w:rsidRPr="00EE76E1">
        <w:t xml:space="preserve">On </w:t>
      </w:r>
      <w:r w:rsidR="00233808">
        <w:t>6 December</w:t>
      </w:r>
      <w:r w:rsidR="00EE76E1" w:rsidRPr="00EE76E1">
        <w:t xml:space="preserve"> 2021,</w:t>
      </w:r>
      <w:r w:rsidRPr="00EE76E1">
        <w:t xml:space="preserve"> FSANZ sought </w:t>
      </w:r>
      <w:hyperlink r:id="rId16" w:history="1">
        <w:r w:rsidR="003A7B84" w:rsidRPr="00BB7D89">
          <w:rPr>
            <w:rStyle w:val="Hyperlink"/>
          </w:rPr>
          <w:t>submissions</w:t>
        </w:r>
      </w:hyperlink>
      <w:r w:rsidR="003A7B84" w:rsidRPr="00EE76E1">
        <w:t xml:space="preserve"> </w:t>
      </w:r>
      <w:r w:rsidR="00A671E6" w:rsidRPr="00EE76E1">
        <w:t xml:space="preserve">on </w:t>
      </w:r>
      <w:r w:rsidR="00F526BD" w:rsidRPr="00EE76E1">
        <w:t xml:space="preserve">a draft </w:t>
      </w:r>
      <w:r w:rsidR="00EE76E1" w:rsidRPr="00EE76E1">
        <w:t>variation</w:t>
      </w:r>
      <w:r w:rsidR="003A7B84" w:rsidRPr="00EE76E1">
        <w:t xml:space="preserve"> and published an </w:t>
      </w:r>
      <w:r w:rsidR="00EC21DF" w:rsidRPr="00EE76E1">
        <w:t>associated r</w:t>
      </w:r>
      <w:r w:rsidR="003A7B84" w:rsidRPr="00EE76E1">
        <w:t>eport</w:t>
      </w:r>
      <w:r w:rsidRPr="00EE76E1">
        <w:t>.</w:t>
      </w:r>
      <w:r w:rsidR="00F526BD" w:rsidRPr="00EE76E1">
        <w:t xml:space="preserve"> FSANZ </w:t>
      </w:r>
      <w:r w:rsidR="00F526BD" w:rsidRPr="0045236D">
        <w:t xml:space="preserve">received </w:t>
      </w:r>
      <w:r w:rsidR="00233808" w:rsidRPr="0045236D">
        <w:t>8</w:t>
      </w:r>
      <w:r w:rsidR="00EE76E1" w:rsidRPr="0045236D">
        <w:t xml:space="preserve"> </w:t>
      </w:r>
      <w:r w:rsidR="00F526BD" w:rsidRPr="0045236D">
        <w:t>submissions.</w:t>
      </w:r>
    </w:p>
    <w:p w14:paraId="18120E27" w14:textId="1F1CD53D" w:rsidR="00B748D3" w:rsidRDefault="00B748D3" w:rsidP="00B748D3">
      <w:r w:rsidRPr="0045236D">
        <w:t xml:space="preserve">FSANZ approved the draft variation on </w:t>
      </w:r>
      <w:r w:rsidR="0045236D" w:rsidRPr="0045236D">
        <w:t xml:space="preserve">27 April 2022. </w:t>
      </w:r>
      <w:r w:rsidRPr="0045236D">
        <w:t xml:space="preserve">The </w:t>
      </w:r>
      <w:r>
        <w:rPr>
          <w:rFonts w:cs="Helvetica"/>
          <w:szCs w:val="22"/>
          <w:lang w:val="en-AU"/>
        </w:rPr>
        <w:t>Food Ministers’ Meeting</w:t>
      </w:r>
      <w:r w:rsidRPr="000A5E99">
        <w:rPr>
          <w:szCs w:val="22"/>
        </w:rPr>
        <w:t xml:space="preserve"> </w:t>
      </w:r>
      <w:r>
        <w:rPr>
          <w:szCs w:val="22"/>
        </w:rPr>
        <w:t xml:space="preserve">(formerly </w:t>
      </w:r>
      <w:r w:rsidRPr="0045236D">
        <w:rPr>
          <w:szCs w:val="22"/>
        </w:rPr>
        <w:t xml:space="preserve">the </w:t>
      </w:r>
      <w:r w:rsidRPr="0045236D">
        <w:rPr>
          <w:rFonts w:cs="Helvetica"/>
          <w:lang w:val="en-AU"/>
        </w:rPr>
        <w:t xml:space="preserve">Australia and New Zealand Ministerial Forum on Food </w:t>
      </w:r>
      <w:r w:rsidRPr="0045236D">
        <w:rPr>
          <w:rFonts w:cs="Arial"/>
        </w:rPr>
        <w:t>Regulation)</w:t>
      </w:r>
      <w:r w:rsidRPr="0045236D">
        <w:t xml:space="preserve"> was notified of FSANZ’s decision on </w:t>
      </w:r>
      <w:r w:rsidR="0045236D" w:rsidRPr="0045236D">
        <w:t>6 May 2022.</w:t>
      </w:r>
    </w:p>
    <w:p w14:paraId="633BC3D5" w14:textId="2B966993" w:rsidR="00F526BD" w:rsidRDefault="003A7B84" w:rsidP="00510B7A">
      <w:pPr>
        <w:spacing w:before="120" w:after="120"/>
      </w:pPr>
      <w:r w:rsidRPr="00EE76E1">
        <w:t>This R</w:t>
      </w:r>
      <w:r w:rsidR="00B425AA" w:rsidRPr="00EE76E1">
        <w:t xml:space="preserve">eport is provided pursuant to </w:t>
      </w:r>
      <w:r w:rsidR="009A2699" w:rsidRPr="00EE76E1">
        <w:t>paragraph</w:t>
      </w:r>
      <w:r w:rsidR="00081B0A" w:rsidRPr="00EE76E1">
        <w:t xml:space="preserve"> 33(1)(b) of the </w:t>
      </w:r>
      <w:r w:rsidR="00081B0A" w:rsidRPr="0012388D">
        <w:rPr>
          <w:i/>
        </w:rPr>
        <w:t>Food Standards Australia New Zealand Act 1991</w:t>
      </w:r>
      <w:r w:rsidR="00081B0A">
        <w:t xml:space="preserve"> (the FSANZ Act).</w:t>
      </w:r>
    </w:p>
    <w:p w14:paraId="06D4B33A" w14:textId="77777777" w:rsidR="00EB6590" w:rsidRDefault="00EB6590" w:rsidP="00510B7A">
      <w:pPr>
        <w:spacing w:before="120" w:after="120"/>
      </w:pPr>
    </w:p>
    <w:p w14:paraId="28EC5A50" w14:textId="0B7A71D2" w:rsidR="00A671E6" w:rsidRDefault="00A671E6" w:rsidP="008D2958">
      <w:pPr>
        <w:spacing w:before="120" w:after="120"/>
        <w:sectPr w:rsidR="00A671E6" w:rsidSect="00EB576F">
          <w:footerReference w:type="even" r:id="rId17"/>
          <w:footerReference w:type="default" r:id="rId18"/>
          <w:headerReference w:type="first" r:id="rId19"/>
          <w:pgSz w:w="11906" w:h="16838" w:code="9"/>
          <w:pgMar w:top="1418" w:right="1418" w:bottom="1418" w:left="1418" w:header="709" w:footer="709" w:gutter="0"/>
          <w:pgNumType w:fmt="lowerRoman" w:start="1"/>
          <w:cols w:space="708"/>
          <w:docGrid w:linePitch="360"/>
        </w:sectPr>
      </w:pPr>
      <w:bookmarkStart w:id="0" w:name="_GoBack"/>
      <w:bookmarkEnd w:id="0"/>
    </w:p>
    <w:p w14:paraId="0E518948" w14:textId="1E6CEC55" w:rsidR="0012388D" w:rsidRPr="00847DAC" w:rsidRDefault="00D15A08" w:rsidP="00DE53C3">
      <w:pPr>
        <w:jc w:val="center"/>
        <w:rPr>
          <w:rFonts w:cs="Arial"/>
          <w:sz w:val="28"/>
          <w:szCs w:val="28"/>
        </w:rPr>
      </w:pPr>
      <w:r w:rsidRPr="00847DAC">
        <w:rPr>
          <w:rFonts w:cs="Arial"/>
          <w:sz w:val="28"/>
          <w:szCs w:val="28"/>
        </w:rPr>
        <w:lastRenderedPageBreak/>
        <w:t xml:space="preserve">Table of </w:t>
      </w:r>
      <w:r w:rsidR="00B63BBA" w:rsidRPr="00847DAC">
        <w:rPr>
          <w:rFonts w:cs="Arial"/>
          <w:sz w:val="28"/>
          <w:szCs w:val="28"/>
        </w:rPr>
        <w:t>c</w:t>
      </w:r>
      <w:r w:rsidRPr="00847DAC">
        <w:rPr>
          <w:rFonts w:cs="Arial"/>
          <w:sz w:val="28"/>
          <w:szCs w:val="28"/>
        </w:rPr>
        <w:t>ontents</w:t>
      </w:r>
    </w:p>
    <w:p w14:paraId="59C7BA58" w14:textId="62AAD542" w:rsidR="00DE53C3" w:rsidRDefault="00DE53C3" w:rsidP="00442FCE">
      <w:pPr>
        <w:pStyle w:val="TOC1"/>
        <w:rPr>
          <w:rFonts w:eastAsiaTheme="minorEastAsia" w:cstheme="minorBidi"/>
          <w:noProof/>
          <w:sz w:val="22"/>
          <w:szCs w:val="22"/>
          <w:lang w:eastAsia="en-GB" w:bidi="ar-SA"/>
        </w:rPr>
      </w:pPr>
      <w:r>
        <w:rPr>
          <w:rFonts w:ascii="Arial" w:hAnsi="Arial" w:cs="Arial"/>
          <w:smallCaps/>
        </w:rPr>
        <w:fldChar w:fldCharType="begin"/>
      </w:r>
      <w:r>
        <w:rPr>
          <w:rFonts w:ascii="Arial" w:hAnsi="Arial" w:cs="Arial"/>
          <w:smallCaps/>
        </w:rPr>
        <w:instrText xml:space="preserve"> TOC \o "1-2" \h \z \u </w:instrText>
      </w:r>
      <w:r>
        <w:rPr>
          <w:rFonts w:ascii="Arial" w:hAnsi="Arial" w:cs="Arial"/>
          <w:smallCaps/>
        </w:rPr>
        <w:fldChar w:fldCharType="separate"/>
      </w:r>
      <w:hyperlink w:anchor="_Toc100402940" w:history="1">
        <w:r w:rsidRPr="0008406E">
          <w:rPr>
            <w:rStyle w:val="Hyperlink"/>
            <w:noProof/>
          </w:rPr>
          <w:t>Executive summary</w:t>
        </w:r>
        <w:r>
          <w:rPr>
            <w:noProof/>
            <w:webHidden/>
          </w:rPr>
          <w:tab/>
        </w:r>
        <w:r>
          <w:rPr>
            <w:noProof/>
            <w:webHidden/>
          </w:rPr>
          <w:fldChar w:fldCharType="begin"/>
        </w:r>
        <w:r>
          <w:rPr>
            <w:noProof/>
            <w:webHidden/>
          </w:rPr>
          <w:instrText xml:space="preserve"> PAGEREF _Toc100402940 \h </w:instrText>
        </w:r>
        <w:r>
          <w:rPr>
            <w:noProof/>
            <w:webHidden/>
          </w:rPr>
        </w:r>
        <w:r>
          <w:rPr>
            <w:noProof/>
            <w:webHidden/>
          </w:rPr>
          <w:fldChar w:fldCharType="separate"/>
        </w:r>
        <w:r w:rsidR="003A3DCF">
          <w:rPr>
            <w:noProof/>
            <w:webHidden/>
          </w:rPr>
          <w:t>3</w:t>
        </w:r>
        <w:r>
          <w:rPr>
            <w:noProof/>
            <w:webHidden/>
          </w:rPr>
          <w:fldChar w:fldCharType="end"/>
        </w:r>
      </w:hyperlink>
    </w:p>
    <w:p w14:paraId="5E44A758" w14:textId="5890BF0C" w:rsidR="00DE53C3" w:rsidRDefault="001C16A2" w:rsidP="00442FCE">
      <w:pPr>
        <w:pStyle w:val="TOC1"/>
        <w:rPr>
          <w:rFonts w:eastAsiaTheme="minorEastAsia" w:cstheme="minorBidi"/>
          <w:noProof/>
          <w:sz w:val="22"/>
          <w:szCs w:val="22"/>
          <w:lang w:eastAsia="en-GB" w:bidi="ar-SA"/>
        </w:rPr>
      </w:pPr>
      <w:hyperlink w:anchor="_Toc100402941" w:history="1">
        <w:r w:rsidR="00DE53C3" w:rsidRPr="0008406E">
          <w:rPr>
            <w:rStyle w:val="Hyperlink"/>
            <w:noProof/>
          </w:rPr>
          <w:t>1</w:t>
        </w:r>
        <w:r w:rsidR="00DE53C3">
          <w:rPr>
            <w:rStyle w:val="Hyperlink"/>
            <w:noProof/>
          </w:rPr>
          <w:t xml:space="preserve">        </w:t>
        </w:r>
        <w:r w:rsidR="00DE53C3" w:rsidRPr="0008406E">
          <w:rPr>
            <w:rStyle w:val="Hyperlink"/>
            <w:noProof/>
          </w:rPr>
          <w:t>Introduction</w:t>
        </w:r>
        <w:r w:rsidR="00DE53C3">
          <w:rPr>
            <w:noProof/>
            <w:webHidden/>
          </w:rPr>
          <w:tab/>
        </w:r>
        <w:r w:rsidR="00DE53C3">
          <w:rPr>
            <w:noProof/>
            <w:webHidden/>
          </w:rPr>
          <w:fldChar w:fldCharType="begin"/>
        </w:r>
        <w:r w:rsidR="00DE53C3">
          <w:rPr>
            <w:noProof/>
            <w:webHidden/>
          </w:rPr>
          <w:instrText xml:space="preserve"> PAGEREF _Toc100402941 \h </w:instrText>
        </w:r>
        <w:r w:rsidR="00DE53C3">
          <w:rPr>
            <w:noProof/>
            <w:webHidden/>
          </w:rPr>
        </w:r>
        <w:r w:rsidR="00DE53C3">
          <w:rPr>
            <w:noProof/>
            <w:webHidden/>
          </w:rPr>
          <w:fldChar w:fldCharType="separate"/>
        </w:r>
        <w:r w:rsidR="003A3DCF">
          <w:rPr>
            <w:noProof/>
            <w:webHidden/>
          </w:rPr>
          <w:t>5</w:t>
        </w:r>
        <w:r w:rsidR="00DE53C3">
          <w:rPr>
            <w:noProof/>
            <w:webHidden/>
          </w:rPr>
          <w:fldChar w:fldCharType="end"/>
        </w:r>
      </w:hyperlink>
    </w:p>
    <w:p w14:paraId="0AD4D1F5" w14:textId="076B3065" w:rsidR="00DE53C3" w:rsidRDefault="001C16A2" w:rsidP="00DE53C3">
      <w:pPr>
        <w:pStyle w:val="TOC2"/>
        <w:rPr>
          <w:rFonts w:eastAsiaTheme="minorEastAsia" w:cstheme="minorBidi"/>
          <w:noProof/>
          <w:sz w:val="22"/>
          <w:szCs w:val="22"/>
          <w:lang w:eastAsia="en-GB" w:bidi="ar-SA"/>
        </w:rPr>
      </w:pPr>
      <w:hyperlink w:anchor="_Toc100402942" w:history="1">
        <w:r w:rsidR="00DE53C3" w:rsidRPr="0008406E">
          <w:rPr>
            <w:rStyle w:val="Hyperlink"/>
            <w:noProof/>
          </w:rPr>
          <w:t>1.1</w:t>
        </w:r>
        <w:r w:rsidR="00DE53C3">
          <w:rPr>
            <w:rFonts w:eastAsiaTheme="minorEastAsia" w:cstheme="minorBidi"/>
            <w:noProof/>
            <w:sz w:val="22"/>
            <w:szCs w:val="22"/>
            <w:lang w:eastAsia="en-GB" w:bidi="ar-SA"/>
          </w:rPr>
          <w:tab/>
        </w:r>
        <w:r w:rsidR="00DE53C3" w:rsidRPr="0008406E">
          <w:rPr>
            <w:rStyle w:val="Hyperlink"/>
            <w:noProof/>
          </w:rPr>
          <w:t>The applicant</w:t>
        </w:r>
        <w:r w:rsidR="00DE53C3">
          <w:rPr>
            <w:noProof/>
            <w:webHidden/>
          </w:rPr>
          <w:tab/>
        </w:r>
        <w:r w:rsidR="00DE53C3">
          <w:rPr>
            <w:noProof/>
            <w:webHidden/>
          </w:rPr>
          <w:fldChar w:fldCharType="begin"/>
        </w:r>
        <w:r w:rsidR="00DE53C3">
          <w:rPr>
            <w:noProof/>
            <w:webHidden/>
          </w:rPr>
          <w:instrText xml:space="preserve"> PAGEREF _Toc100402942 \h </w:instrText>
        </w:r>
        <w:r w:rsidR="00DE53C3">
          <w:rPr>
            <w:noProof/>
            <w:webHidden/>
          </w:rPr>
        </w:r>
        <w:r w:rsidR="00DE53C3">
          <w:rPr>
            <w:noProof/>
            <w:webHidden/>
          </w:rPr>
          <w:fldChar w:fldCharType="separate"/>
        </w:r>
        <w:r w:rsidR="003A3DCF">
          <w:rPr>
            <w:noProof/>
            <w:webHidden/>
          </w:rPr>
          <w:t>5</w:t>
        </w:r>
        <w:r w:rsidR="00DE53C3">
          <w:rPr>
            <w:noProof/>
            <w:webHidden/>
          </w:rPr>
          <w:fldChar w:fldCharType="end"/>
        </w:r>
      </w:hyperlink>
    </w:p>
    <w:p w14:paraId="21876891" w14:textId="5E07F4B6" w:rsidR="00DE53C3" w:rsidRDefault="001C16A2" w:rsidP="00DE53C3">
      <w:pPr>
        <w:pStyle w:val="TOC2"/>
        <w:rPr>
          <w:rFonts w:eastAsiaTheme="minorEastAsia" w:cstheme="minorBidi"/>
          <w:noProof/>
          <w:sz w:val="22"/>
          <w:szCs w:val="22"/>
          <w:lang w:eastAsia="en-GB" w:bidi="ar-SA"/>
        </w:rPr>
      </w:pPr>
      <w:hyperlink w:anchor="_Toc100402943" w:history="1">
        <w:r w:rsidR="00DE53C3" w:rsidRPr="0008406E">
          <w:rPr>
            <w:rStyle w:val="Hyperlink"/>
            <w:noProof/>
          </w:rPr>
          <w:t>1.2</w:t>
        </w:r>
        <w:r w:rsidR="00DE53C3">
          <w:rPr>
            <w:rFonts w:eastAsiaTheme="minorEastAsia" w:cstheme="minorBidi"/>
            <w:noProof/>
            <w:sz w:val="22"/>
            <w:szCs w:val="22"/>
            <w:lang w:eastAsia="en-GB" w:bidi="ar-SA"/>
          </w:rPr>
          <w:tab/>
        </w:r>
        <w:r w:rsidR="00DE53C3" w:rsidRPr="0008406E">
          <w:rPr>
            <w:rStyle w:val="Hyperlink"/>
            <w:noProof/>
          </w:rPr>
          <w:t>The application</w:t>
        </w:r>
        <w:r w:rsidR="00DE53C3">
          <w:rPr>
            <w:noProof/>
            <w:webHidden/>
          </w:rPr>
          <w:tab/>
        </w:r>
        <w:r w:rsidR="00DE53C3">
          <w:rPr>
            <w:noProof/>
            <w:webHidden/>
          </w:rPr>
          <w:fldChar w:fldCharType="begin"/>
        </w:r>
        <w:r w:rsidR="00DE53C3">
          <w:rPr>
            <w:noProof/>
            <w:webHidden/>
          </w:rPr>
          <w:instrText xml:space="preserve"> PAGEREF _Toc100402943 \h </w:instrText>
        </w:r>
        <w:r w:rsidR="00DE53C3">
          <w:rPr>
            <w:noProof/>
            <w:webHidden/>
          </w:rPr>
        </w:r>
        <w:r w:rsidR="00DE53C3">
          <w:rPr>
            <w:noProof/>
            <w:webHidden/>
          </w:rPr>
          <w:fldChar w:fldCharType="separate"/>
        </w:r>
        <w:r w:rsidR="003A3DCF">
          <w:rPr>
            <w:noProof/>
            <w:webHidden/>
          </w:rPr>
          <w:t>5</w:t>
        </w:r>
        <w:r w:rsidR="00DE53C3">
          <w:rPr>
            <w:noProof/>
            <w:webHidden/>
          </w:rPr>
          <w:fldChar w:fldCharType="end"/>
        </w:r>
      </w:hyperlink>
    </w:p>
    <w:p w14:paraId="62C33DDE" w14:textId="2E2E6F41" w:rsidR="00DE53C3" w:rsidRDefault="001C16A2" w:rsidP="00DE53C3">
      <w:pPr>
        <w:pStyle w:val="TOC2"/>
        <w:rPr>
          <w:rFonts w:eastAsiaTheme="minorEastAsia" w:cstheme="minorBidi"/>
          <w:noProof/>
          <w:sz w:val="22"/>
          <w:szCs w:val="22"/>
          <w:lang w:eastAsia="en-GB" w:bidi="ar-SA"/>
        </w:rPr>
      </w:pPr>
      <w:hyperlink w:anchor="_Toc100402944" w:history="1">
        <w:r w:rsidR="00DE53C3" w:rsidRPr="0008406E">
          <w:rPr>
            <w:rStyle w:val="Hyperlink"/>
            <w:noProof/>
          </w:rPr>
          <w:t>1.3</w:t>
        </w:r>
        <w:r w:rsidR="00DE53C3">
          <w:rPr>
            <w:rFonts w:eastAsiaTheme="minorEastAsia" w:cstheme="minorBidi"/>
            <w:noProof/>
            <w:sz w:val="22"/>
            <w:szCs w:val="22"/>
            <w:lang w:eastAsia="en-GB" w:bidi="ar-SA"/>
          </w:rPr>
          <w:tab/>
        </w:r>
        <w:r w:rsidR="00DE53C3" w:rsidRPr="0008406E">
          <w:rPr>
            <w:rStyle w:val="Hyperlink"/>
            <w:noProof/>
          </w:rPr>
          <w:t>The current Standards</w:t>
        </w:r>
        <w:r w:rsidR="00DE53C3">
          <w:rPr>
            <w:noProof/>
            <w:webHidden/>
          </w:rPr>
          <w:tab/>
        </w:r>
        <w:r w:rsidR="00DE53C3">
          <w:rPr>
            <w:noProof/>
            <w:webHidden/>
          </w:rPr>
          <w:fldChar w:fldCharType="begin"/>
        </w:r>
        <w:r w:rsidR="00DE53C3">
          <w:rPr>
            <w:noProof/>
            <w:webHidden/>
          </w:rPr>
          <w:instrText xml:space="preserve"> PAGEREF _Toc100402944 \h </w:instrText>
        </w:r>
        <w:r w:rsidR="00DE53C3">
          <w:rPr>
            <w:noProof/>
            <w:webHidden/>
          </w:rPr>
        </w:r>
        <w:r w:rsidR="00DE53C3">
          <w:rPr>
            <w:noProof/>
            <w:webHidden/>
          </w:rPr>
          <w:fldChar w:fldCharType="separate"/>
        </w:r>
        <w:r w:rsidR="003A3DCF">
          <w:rPr>
            <w:noProof/>
            <w:webHidden/>
          </w:rPr>
          <w:t>5</w:t>
        </w:r>
        <w:r w:rsidR="00DE53C3">
          <w:rPr>
            <w:noProof/>
            <w:webHidden/>
          </w:rPr>
          <w:fldChar w:fldCharType="end"/>
        </w:r>
      </w:hyperlink>
    </w:p>
    <w:p w14:paraId="77295A84" w14:textId="24652102" w:rsidR="00DE53C3" w:rsidRDefault="001C16A2" w:rsidP="00DE53C3">
      <w:pPr>
        <w:pStyle w:val="TOC2"/>
        <w:rPr>
          <w:rFonts w:eastAsiaTheme="minorEastAsia" w:cstheme="minorBidi"/>
          <w:noProof/>
          <w:sz w:val="22"/>
          <w:szCs w:val="22"/>
          <w:lang w:eastAsia="en-GB" w:bidi="ar-SA"/>
        </w:rPr>
      </w:pPr>
      <w:hyperlink w:anchor="_Toc100402945" w:history="1">
        <w:r w:rsidR="00DE53C3" w:rsidRPr="0008406E">
          <w:rPr>
            <w:rStyle w:val="Hyperlink"/>
            <w:noProof/>
          </w:rPr>
          <w:t>1.4</w:t>
        </w:r>
        <w:r w:rsidR="00DE53C3">
          <w:rPr>
            <w:rFonts w:eastAsiaTheme="minorEastAsia" w:cstheme="minorBidi"/>
            <w:noProof/>
            <w:sz w:val="22"/>
            <w:szCs w:val="22"/>
            <w:lang w:eastAsia="en-GB" w:bidi="ar-SA"/>
          </w:rPr>
          <w:tab/>
        </w:r>
        <w:r w:rsidR="00DE53C3" w:rsidRPr="0008406E">
          <w:rPr>
            <w:rStyle w:val="Hyperlink"/>
            <w:noProof/>
          </w:rPr>
          <w:t>Reasons for accepting the application</w:t>
        </w:r>
        <w:r w:rsidR="00DE53C3">
          <w:rPr>
            <w:noProof/>
            <w:webHidden/>
          </w:rPr>
          <w:tab/>
        </w:r>
        <w:r w:rsidR="00DE53C3">
          <w:rPr>
            <w:noProof/>
            <w:webHidden/>
          </w:rPr>
          <w:fldChar w:fldCharType="begin"/>
        </w:r>
        <w:r w:rsidR="00DE53C3">
          <w:rPr>
            <w:noProof/>
            <w:webHidden/>
          </w:rPr>
          <w:instrText xml:space="preserve"> PAGEREF _Toc100402945 \h </w:instrText>
        </w:r>
        <w:r w:rsidR="00DE53C3">
          <w:rPr>
            <w:noProof/>
            <w:webHidden/>
          </w:rPr>
        </w:r>
        <w:r w:rsidR="00DE53C3">
          <w:rPr>
            <w:noProof/>
            <w:webHidden/>
          </w:rPr>
          <w:fldChar w:fldCharType="separate"/>
        </w:r>
        <w:r w:rsidR="003A3DCF">
          <w:rPr>
            <w:noProof/>
            <w:webHidden/>
          </w:rPr>
          <w:t>8</w:t>
        </w:r>
        <w:r w:rsidR="00DE53C3">
          <w:rPr>
            <w:noProof/>
            <w:webHidden/>
          </w:rPr>
          <w:fldChar w:fldCharType="end"/>
        </w:r>
      </w:hyperlink>
    </w:p>
    <w:p w14:paraId="0882773D" w14:textId="3D8DCC24" w:rsidR="00DE53C3" w:rsidRDefault="001C16A2" w:rsidP="00DE53C3">
      <w:pPr>
        <w:pStyle w:val="TOC2"/>
        <w:rPr>
          <w:rFonts w:eastAsiaTheme="minorEastAsia" w:cstheme="minorBidi"/>
          <w:noProof/>
          <w:sz w:val="22"/>
          <w:szCs w:val="22"/>
          <w:lang w:eastAsia="en-GB" w:bidi="ar-SA"/>
        </w:rPr>
      </w:pPr>
      <w:hyperlink w:anchor="_Toc100402946" w:history="1">
        <w:r w:rsidR="00DE53C3" w:rsidRPr="0008406E">
          <w:rPr>
            <w:rStyle w:val="Hyperlink"/>
            <w:noProof/>
          </w:rPr>
          <w:t>1.5</w:t>
        </w:r>
        <w:r w:rsidR="00DE53C3">
          <w:rPr>
            <w:rFonts w:eastAsiaTheme="minorEastAsia" w:cstheme="minorBidi"/>
            <w:noProof/>
            <w:sz w:val="22"/>
            <w:szCs w:val="22"/>
            <w:lang w:eastAsia="en-GB" w:bidi="ar-SA"/>
          </w:rPr>
          <w:tab/>
        </w:r>
        <w:r w:rsidR="00DE53C3" w:rsidRPr="0008406E">
          <w:rPr>
            <w:rStyle w:val="Hyperlink"/>
            <w:noProof/>
          </w:rPr>
          <w:t>Procedure for assessment</w:t>
        </w:r>
        <w:r w:rsidR="00DE53C3">
          <w:rPr>
            <w:noProof/>
            <w:webHidden/>
          </w:rPr>
          <w:tab/>
        </w:r>
        <w:r w:rsidR="00DE53C3">
          <w:rPr>
            <w:noProof/>
            <w:webHidden/>
          </w:rPr>
          <w:fldChar w:fldCharType="begin"/>
        </w:r>
        <w:r w:rsidR="00DE53C3">
          <w:rPr>
            <w:noProof/>
            <w:webHidden/>
          </w:rPr>
          <w:instrText xml:space="preserve"> PAGEREF _Toc100402946 \h </w:instrText>
        </w:r>
        <w:r w:rsidR="00DE53C3">
          <w:rPr>
            <w:noProof/>
            <w:webHidden/>
          </w:rPr>
        </w:r>
        <w:r w:rsidR="00DE53C3">
          <w:rPr>
            <w:noProof/>
            <w:webHidden/>
          </w:rPr>
          <w:fldChar w:fldCharType="separate"/>
        </w:r>
        <w:r w:rsidR="003A3DCF">
          <w:rPr>
            <w:noProof/>
            <w:webHidden/>
          </w:rPr>
          <w:t>8</w:t>
        </w:r>
        <w:r w:rsidR="00DE53C3">
          <w:rPr>
            <w:noProof/>
            <w:webHidden/>
          </w:rPr>
          <w:fldChar w:fldCharType="end"/>
        </w:r>
      </w:hyperlink>
    </w:p>
    <w:p w14:paraId="10250740" w14:textId="5FA4E7A4" w:rsidR="00DE53C3" w:rsidRDefault="001C16A2" w:rsidP="00DE53C3">
      <w:pPr>
        <w:pStyle w:val="TOC2"/>
        <w:rPr>
          <w:rFonts w:eastAsiaTheme="minorEastAsia" w:cstheme="minorBidi"/>
          <w:noProof/>
          <w:sz w:val="22"/>
          <w:szCs w:val="22"/>
          <w:lang w:eastAsia="en-GB" w:bidi="ar-SA"/>
        </w:rPr>
      </w:pPr>
      <w:hyperlink w:anchor="_Toc100402947" w:history="1">
        <w:r w:rsidR="00DE53C3" w:rsidRPr="0008406E">
          <w:rPr>
            <w:rStyle w:val="Hyperlink"/>
            <w:noProof/>
          </w:rPr>
          <w:t>1.6</w:t>
        </w:r>
        <w:r w:rsidR="00DE53C3">
          <w:rPr>
            <w:rFonts w:eastAsiaTheme="minorEastAsia" w:cstheme="minorBidi"/>
            <w:noProof/>
            <w:sz w:val="22"/>
            <w:szCs w:val="22"/>
            <w:lang w:eastAsia="en-GB" w:bidi="ar-SA"/>
          </w:rPr>
          <w:tab/>
        </w:r>
        <w:r w:rsidR="00DE53C3" w:rsidRPr="0008406E">
          <w:rPr>
            <w:rStyle w:val="Hyperlink"/>
            <w:noProof/>
          </w:rPr>
          <w:t>Decision</w:t>
        </w:r>
        <w:r w:rsidR="00DE53C3">
          <w:rPr>
            <w:noProof/>
            <w:webHidden/>
          </w:rPr>
          <w:tab/>
        </w:r>
        <w:r w:rsidR="00DE53C3">
          <w:rPr>
            <w:noProof/>
            <w:webHidden/>
          </w:rPr>
          <w:fldChar w:fldCharType="begin"/>
        </w:r>
        <w:r w:rsidR="00DE53C3">
          <w:rPr>
            <w:noProof/>
            <w:webHidden/>
          </w:rPr>
          <w:instrText xml:space="preserve"> PAGEREF _Toc100402947 \h </w:instrText>
        </w:r>
        <w:r w:rsidR="00DE53C3">
          <w:rPr>
            <w:noProof/>
            <w:webHidden/>
          </w:rPr>
        </w:r>
        <w:r w:rsidR="00DE53C3">
          <w:rPr>
            <w:noProof/>
            <w:webHidden/>
          </w:rPr>
          <w:fldChar w:fldCharType="separate"/>
        </w:r>
        <w:r w:rsidR="003A3DCF">
          <w:rPr>
            <w:noProof/>
            <w:webHidden/>
          </w:rPr>
          <w:t>8</w:t>
        </w:r>
        <w:r w:rsidR="00DE53C3">
          <w:rPr>
            <w:noProof/>
            <w:webHidden/>
          </w:rPr>
          <w:fldChar w:fldCharType="end"/>
        </w:r>
      </w:hyperlink>
    </w:p>
    <w:p w14:paraId="7793DC8B" w14:textId="3AEF989B" w:rsidR="00DE53C3" w:rsidRDefault="001C16A2" w:rsidP="00442FCE">
      <w:pPr>
        <w:pStyle w:val="TOC1"/>
        <w:rPr>
          <w:rFonts w:eastAsiaTheme="minorEastAsia" w:cstheme="minorBidi"/>
          <w:noProof/>
          <w:sz w:val="22"/>
          <w:szCs w:val="22"/>
          <w:lang w:eastAsia="en-GB" w:bidi="ar-SA"/>
        </w:rPr>
      </w:pPr>
      <w:hyperlink w:anchor="_Toc100402948" w:history="1">
        <w:r w:rsidR="00DE53C3" w:rsidRPr="0008406E">
          <w:rPr>
            <w:rStyle w:val="Hyperlink"/>
            <w:noProof/>
          </w:rPr>
          <w:t>2</w:t>
        </w:r>
        <w:r w:rsidR="00DE53C3">
          <w:rPr>
            <w:rStyle w:val="Hyperlink"/>
            <w:noProof/>
          </w:rPr>
          <w:t xml:space="preserve">        </w:t>
        </w:r>
        <w:r w:rsidR="00DE53C3" w:rsidRPr="0008406E">
          <w:rPr>
            <w:rStyle w:val="Hyperlink"/>
            <w:noProof/>
          </w:rPr>
          <w:t>Summary of the findings</w:t>
        </w:r>
        <w:r w:rsidR="00DE53C3">
          <w:rPr>
            <w:noProof/>
            <w:webHidden/>
          </w:rPr>
          <w:tab/>
        </w:r>
        <w:r w:rsidR="00DE53C3">
          <w:rPr>
            <w:noProof/>
            <w:webHidden/>
          </w:rPr>
          <w:fldChar w:fldCharType="begin"/>
        </w:r>
        <w:r w:rsidR="00DE53C3">
          <w:rPr>
            <w:noProof/>
            <w:webHidden/>
          </w:rPr>
          <w:instrText xml:space="preserve"> PAGEREF _Toc100402948 \h </w:instrText>
        </w:r>
        <w:r w:rsidR="00DE53C3">
          <w:rPr>
            <w:noProof/>
            <w:webHidden/>
          </w:rPr>
        </w:r>
        <w:r w:rsidR="00DE53C3">
          <w:rPr>
            <w:noProof/>
            <w:webHidden/>
          </w:rPr>
          <w:fldChar w:fldCharType="separate"/>
        </w:r>
        <w:r w:rsidR="003A3DCF">
          <w:rPr>
            <w:noProof/>
            <w:webHidden/>
          </w:rPr>
          <w:t>10</w:t>
        </w:r>
        <w:r w:rsidR="00DE53C3">
          <w:rPr>
            <w:noProof/>
            <w:webHidden/>
          </w:rPr>
          <w:fldChar w:fldCharType="end"/>
        </w:r>
      </w:hyperlink>
    </w:p>
    <w:p w14:paraId="7E80A678" w14:textId="62B2E887" w:rsidR="00DE53C3" w:rsidRDefault="001C16A2" w:rsidP="00DE53C3">
      <w:pPr>
        <w:pStyle w:val="TOC2"/>
        <w:rPr>
          <w:rFonts w:eastAsiaTheme="minorEastAsia" w:cstheme="minorBidi"/>
          <w:noProof/>
          <w:sz w:val="22"/>
          <w:szCs w:val="22"/>
          <w:lang w:eastAsia="en-GB" w:bidi="ar-SA"/>
        </w:rPr>
      </w:pPr>
      <w:hyperlink w:anchor="_Toc100402949" w:history="1">
        <w:r w:rsidR="00DE53C3" w:rsidRPr="0008406E">
          <w:rPr>
            <w:rStyle w:val="Hyperlink"/>
            <w:noProof/>
          </w:rPr>
          <w:t>2.1</w:t>
        </w:r>
        <w:r w:rsidR="00DE53C3">
          <w:rPr>
            <w:rFonts w:eastAsiaTheme="minorEastAsia" w:cstheme="minorBidi"/>
            <w:noProof/>
            <w:sz w:val="22"/>
            <w:szCs w:val="22"/>
            <w:lang w:eastAsia="en-GB" w:bidi="ar-SA"/>
          </w:rPr>
          <w:tab/>
        </w:r>
        <w:r w:rsidR="00DE53C3" w:rsidRPr="0008406E">
          <w:rPr>
            <w:rStyle w:val="Hyperlink"/>
            <w:noProof/>
          </w:rPr>
          <w:t>Summary of issues raised in submissions</w:t>
        </w:r>
        <w:r w:rsidR="00DE53C3">
          <w:rPr>
            <w:noProof/>
            <w:webHidden/>
          </w:rPr>
          <w:tab/>
        </w:r>
        <w:r w:rsidR="00DE53C3">
          <w:rPr>
            <w:noProof/>
            <w:webHidden/>
          </w:rPr>
          <w:fldChar w:fldCharType="begin"/>
        </w:r>
        <w:r w:rsidR="00DE53C3">
          <w:rPr>
            <w:noProof/>
            <w:webHidden/>
          </w:rPr>
          <w:instrText xml:space="preserve"> PAGEREF _Toc100402949 \h </w:instrText>
        </w:r>
        <w:r w:rsidR="00DE53C3">
          <w:rPr>
            <w:noProof/>
            <w:webHidden/>
          </w:rPr>
        </w:r>
        <w:r w:rsidR="00DE53C3">
          <w:rPr>
            <w:noProof/>
            <w:webHidden/>
          </w:rPr>
          <w:fldChar w:fldCharType="separate"/>
        </w:r>
        <w:r w:rsidR="003A3DCF">
          <w:rPr>
            <w:noProof/>
            <w:webHidden/>
          </w:rPr>
          <w:t>10</w:t>
        </w:r>
        <w:r w:rsidR="00DE53C3">
          <w:rPr>
            <w:noProof/>
            <w:webHidden/>
          </w:rPr>
          <w:fldChar w:fldCharType="end"/>
        </w:r>
      </w:hyperlink>
    </w:p>
    <w:p w14:paraId="287F520A" w14:textId="0DD67A27" w:rsidR="00DE53C3" w:rsidRDefault="001C16A2" w:rsidP="00DE53C3">
      <w:pPr>
        <w:pStyle w:val="TOC2"/>
        <w:rPr>
          <w:rFonts w:eastAsiaTheme="minorEastAsia" w:cstheme="minorBidi"/>
          <w:noProof/>
          <w:sz w:val="22"/>
          <w:szCs w:val="22"/>
          <w:lang w:eastAsia="en-GB" w:bidi="ar-SA"/>
        </w:rPr>
      </w:pPr>
      <w:hyperlink w:anchor="_Toc100402950" w:history="1">
        <w:r w:rsidR="00DE53C3" w:rsidRPr="0008406E">
          <w:rPr>
            <w:rStyle w:val="Hyperlink"/>
            <w:noProof/>
          </w:rPr>
          <w:t>2.2</w:t>
        </w:r>
        <w:r w:rsidR="00DE53C3">
          <w:rPr>
            <w:rFonts w:eastAsiaTheme="minorEastAsia" w:cstheme="minorBidi"/>
            <w:noProof/>
            <w:sz w:val="22"/>
            <w:szCs w:val="22"/>
            <w:lang w:eastAsia="en-GB" w:bidi="ar-SA"/>
          </w:rPr>
          <w:tab/>
        </w:r>
        <w:r w:rsidR="00DE53C3" w:rsidRPr="0008406E">
          <w:rPr>
            <w:rStyle w:val="Hyperlink"/>
            <w:noProof/>
          </w:rPr>
          <w:t>Food technology and safety assessment</w:t>
        </w:r>
        <w:r w:rsidR="00DE53C3">
          <w:rPr>
            <w:noProof/>
            <w:webHidden/>
          </w:rPr>
          <w:tab/>
        </w:r>
        <w:r w:rsidR="00DE53C3">
          <w:rPr>
            <w:noProof/>
            <w:webHidden/>
          </w:rPr>
          <w:fldChar w:fldCharType="begin"/>
        </w:r>
        <w:r w:rsidR="00DE53C3">
          <w:rPr>
            <w:noProof/>
            <w:webHidden/>
          </w:rPr>
          <w:instrText xml:space="preserve"> PAGEREF _Toc100402950 \h </w:instrText>
        </w:r>
        <w:r w:rsidR="00DE53C3">
          <w:rPr>
            <w:noProof/>
            <w:webHidden/>
          </w:rPr>
        </w:r>
        <w:r w:rsidR="00DE53C3">
          <w:rPr>
            <w:noProof/>
            <w:webHidden/>
          </w:rPr>
          <w:fldChar w:fldCharType="separate"/>
        </w:r>
        <w:r w:rsidR="003A3DCF">
          <w:rPr>
            <w:noProof/>
            <w:webHidden/>
          </w:rPr>
          <w:t>14</w:t>
        </w:r>
        <w:r w:rsidR="00DE53C3">
          <w:rPr>
            <w:noProof/>
            <w:webHidden/>
          </w:rPr>
          <w:fldChar w:fldCharType="end"/>
        </w:r>
      </w:hyperlink>
    </w:p>
    <w:p w14:paraId="377B1AA2" w14:textId="6D5210BB" w:rsidR="00DE53C3" w:rsidRDefault="001C16A2" w:rsidP="00442FCE">
      <w:pPr>
        <w:pStyle w:val="TOC1"/>
        <w:rPr>
          <w:rFonts w:eastAsiaTheme="minorEastAsia" w:cstheme="minorBidi"/>
          <w:noProof/>
          <w:sz w:val="22"/>
          <w:szCs w:val="22"/>
          <w:lang w:eastAsia="en-GB" w:bidi="ar-SA"/>
        </w:rPr>
      </w:pPr>
      <w:hyperlink w:anchor="_Toc100402951" w:history="1">
        <w:r w:rsidR="00DE53C3" w:rsidRPr="0008406E">
          <w:rPr>
            <w:rStyle w:val="Hyperlink"/>
            <w:noProof/>
          </w:rPr>
          <w:t>3</w:t>
        </w:r>
        <w:r w:rsidR="00DE53C3">
          <w:rPr>
            <w:rFonts w:eastAsiaTheme="minorEastAsia" w:cstheme="minorBidi"/>
            <w:noProof/>
            <w:sz w:val="22"/>
            <w:szCs w:val="22"/>
            <w:lang w:eastAsia="en-GB" w:bidi="ar-SA"/>
          </w:rPr>
          <w:t xml:space="preserve">       </w:t>
        </w:r>
        <w:r w:rsidR="00DE53C3" w:rsidRPr="0008406E">
          <w:rPr>
            <w:rStyle w:val="Hyperlink"/>
            <w:noProof/>
          </w:rPr>
          <w:t>Risk management</w:t>
        </w:r>
        <w:r w:rsidR="00DE53C3">
          <w:rPr>
            <w:noProof/>
            <w:webHidden/>
          </w:rPr>
          <w:tab/>
        </w:r>
        <w:r w:rsidR="00DE53C3">
          <w:rPr>
            <w:noProof/>
            <w:webHidden/>
          </w:rPr>
          <w:fldChar w:fldCharType="begin"/>
        </w:r>
        <w:r w:rsidR="00DE53C3">
          <w:rPr>
            <w:noProof/>
            <w:webHidden/>
          </w:rPr>
          <w:instrText xml:space="preserve"> PAGEREF _Toc100402951 \h </w:instrText>
        </w:r>
        <w:r w:rsidR="00DE53C3">
          <w:rPr>
            <w:noProof/>
            <w:webHidden/>
          </w:rPr>
        </w:r>
        <w:r w:rsidR="00DE53C3">
          <w:rPr>
            <w:noProof/>
            <w:webHidden/>
          </w:rPr>
          <w:fldChar w:fldCharType="separate"/>
        </w:r>
        <w:r w:rsidR="003A3DCF">
          <w:rPr>
            <w:noProof/>
            <w:webHidden/>
          </w:rPr>
          <w:t>14</w:t>
        </w:r>
        <w:r w:rsidR="00DE53C3">
          <w:rPr>
            <w:noProof/>
            <w:webHidden/>
          </w:rPr>
          <w:fldChar w:fldCharType="end"/>
        </w:r>
      </w:hyperlink>
    </w:p>
    <w:p w14:paraId="08B979E5" w14:textId="69C2DDFA" w:rsidR="00DE53C3" w:rsidRDefault="001C16A2" w:rsidP="00DE53C3">
      <w:pPr>
        <w:pStyle w:val="TOC2"/>
        <w:rPr>
          <w:rFonts w:eastAsiaTheme="minorEastAsia" w:cstheme="minorBidi"/>
          <w:noProof/>
          <w:sz w:val="22"/>
          <w:szCs w:val="22"/>
          <w:lang w:eastAsia="en-GB" w:bidi="ar-SA"/>
        </w:rPr>
      </w:pPr>
      <w:hyperlink w:anchor="_Toc100402952" w:history="1">
        <w:r w:rsidR="00DE53C3" w:rsidRPr="0008406E">
          <w:rPr>
            <w:rStyle w:val="Hyperlink"/>
            <w:noProof/>
          </w:rPr>
          <w:t>3.1</w:t>
        </w:r>
        <w:r w:rsidR="00DE53C3">
          <w:rPr>
            <w:rFonts w:eastAsiaTheme="minorEastAsia" w:cstheme="minorBidi"/>
            <w:noProof/>
            <w:sz w:val="22"/>
            <w:szCs w:val="22"/>
            <w:lang w:eastAsia="en-GB" w:bidi="ar-SA"/>
          </w:rPr>
          <w:tab/>
        </w:r>
        <w:r w:rsidR="00DE53C3" w:rsidRPr="0008406E">
          <w:rPr>
            <w:rStyle w:val="Hyperlink"/>
            <w:noProof/>
          </w:rPr>
          <w:t>Consideration of the assessment and final approach</w:t>
        </w:r>
        <w:r w:rsidR="00DE53C3">
          <w:rPr>
            <w:noProof/>
            <w:webHidden/>
          </w:rPr>
          <w:tab/>
        </w:r>
        <w:r w:rsidR="00DE53C3">
          <w:rPr>
            <w:noProof/>
            <w:webHidden/>
          </w:rPr>
          <w:fldChar w:fldCharType="begin"/>
        </w:r>
        <w:r w:rsidR="00DE53C3">
          <w:rPr>
            <w:noProof/>
            <w:webHidden/>
          </w:rPr>
          <w:instrText xml:space="preserve"> PAGEREF _Toc100402952 \h </w:instrText>
        </w:r>
        <w:r w:rsidR="00DE53C3">
          <w:rPr>
            <w:noProof/>
            <w:webHidden/>
          </w:rPr>
        </w:r>
        <w:r w:rsidR="00DE53C3">
          <w:rPr>
            <w:noProof/>
            <w:webHidden/>
          </w:rPr>
          <w:fldChar w:fldCharType="separate"/>
        </w:r>
        <w:r w:rsidR="003A3DCF">
          <w:rPr>
            <w:noProof/>
            <w:webHidden/>
          </w:rPr>
          <w:t>15</w:t>
        </w:r>
        <w:r w:rsidR="00DE53C3">
          <w:rPr>
            <w:noProof/>
            <w:webHidden/>
          </w:rPr>
          <w:fldChar w:fldCharType="end"/>
        </w:r>
      </w:hyperlink>
    </w:p>
    <w:p w14:paraId="4E85ECC7" w14:textId="448EA23B" w:rsidR="00DE53C3" w:rsidRDefault="001C16A2" w:rsidP="00DE53C3">
      <w:pPr>
        <w:pStyle w:val="TOC2"/>
        <w:rPr>
          <w:rFonts w:eastAsiaTheme="minorEastAsia" w:cstheme="minorBidi"/>
          <w:noProof/>
          <w:sz w:val="22"/>
          <w:szCs w:val="22"/>
          <w:lang w:eastAsia="en-GB" w:bidi="ar-SA"/>
        </w:rPr>
      </w:pPr>
      <w:hyperlink w:anchor="_Toc100402953" w:history="1">
        <w:r w:rsidR="00DE53C3" w:rsidRPr="0008406E">
          <w:rPr>
            <w:rStyle w:val="Hyperlink"/>
            <w:noProof/>
          </w:rPr>
          <w:t>3.2</w:t>
        </w:r>
        <w:r w:rsidR="00DE53C3">
          <w:rPr>
            <w:rFonts w:eastAsiaTheme="minorEastAsia" w:cstheme="minorBidi"/>
            <w:noProof/>
            <w:sz w:val="22"/>
            <w:szCs w:val="22"/>
            <w:lang w:eastAsia="en-GB" w:bidi="ar-SA"/>
          </w:rPr>
          <w:tab/>
        </w:r>
        <w:r w:rsidR="00DE53C3" w:rsidRPr="0008406E">
          <w:rPr>
            <w:rStyle w:val="Hyperlink"/>
            <w:noProof/>
          </w:rPr>
          <w:t>Specification for permitted 2′-FL</w:t>
        </w:r>
        <w:r w:rsidR="00DE53C3" w:rsidRPr="0008406E">
          <w:rPr>
            <w:rStyle w:val="Hyperlink"/>
            <w:i/>
            <w:noProof/>
          </w:rPr>
          <w:t xml:space="preserve"> </w:t>
        </w:r>
        <w:r w:rsidR="00DE53C3" w:rsidRPr="0008406E">
          <w:rPr>
            <w:rStyle w:val="Hyperlink"/>
            <w:noProof/>
          </w:rPr>
          <w:t xml:space="preserve">from </w:t>
        </w:r>
        <w:r w:rsidR="00DE53C3" w:rsidRPr="0008406E">
          <w:rPr>
            <w:rStyle w:val="Hyperlink"/>
            <w:i/>
            <w:noProof/>
          </w:rPr>
          <w:t xml:space="preserve">E. coli </w:t>
        </w:r>
        <w:r w:rsidR="00DE53C3" w:rsidRPr="0008406E">
          <w:rPr>
            <w:rStyle w:val="Hyperlink"/>
            <w:noProof/>
          </w:rPr>
          <w:t>K-12</w:t>
        </w:r>
        <w:r w:rsidR="00DE53C3">
          <w:rPr>
            <w:noProof/>
            <w:webHidden/>
          </w:rPr>
          <w:tab/>
        </w:r>
        <w:r w:rsidR="00DE53C3">
          <w:rPr>
            <w:noProof/>
            <w:webHidden/>
          </w:rPr>
          <w:fldChar w:fldCharType="begin"/>
        </w:r>
        <w:r w:rsidR="00DE53C3">
          <w:rPr>
            <w:noProof/>
            <w:webHidden/>
          </w:rPr>
          <w:instrText xml:space="preserve"> PAGEREF _Toc100402953 \h </w:instrText>
        </w:r>
        <w:r w:rsidR="00DE53C3">
          <w:rPr>
            <w:noProof/>
            <w:webHidden/>
          </w:rPr>
        </w:r>
        <w:r w:rsidR="00DE53C3">
          <w:rPr>
            <w:noProof/>
            <w:webHidden/>
          </w:rPr>
          <w:fldChar w:fldCharType="separate"/>
        </w:r>
        <w:r w:rsidR="003A3DCF">
          <w:rPr>
            <w:noProof/>
            <w:webHidden/>
          </w:rPr>
          <w:t>15</w:t>
        </w:r>
        <w:r w:rsidR="00DE53C3">
          <w:rPr>
            <w:noProof/>
            <w:webHidden/>
          </w:rPr>
          <w:fldChar w:fldCharType="end"/>
        </w:r>
      </w:hyperlink>
    </w:p>
    <w:p w14:paraId="02D97D0B" w14:textId="2729ACE2" w:rsidR="00DE53C3" w:rsidRDefault="001C16A2" w:rsidP="00DE53C3">
      <w:pPr>
        <w:pStyle w:val="TOC2"/>
        <w:rPr>
          <w:rFonts w:eastAsiaTheme="minorEastAsia" w:cstheme="minorBidi"/>
          <w:noProof/>
          <w:sz w:val="22"/>
          <w:szCs w:val="22"/>
          <w:lang w:eastAsia="en-GB" w:bidi="ar-SA"/>
        </w:rPr>
      </w:pPr>
      <w:hyperlink w:anchor="_Toc100402954" w:history="1">
        <w:r w:rsidR="00DE53C3" w:rsidRPr="0008406E">
          <w:rPr>
            <w:rStyle w:val="Hyperlink"/>
            <w:noProof/>
          </w:rPr>
          <w:t>3.3</w:t>
        </w:r>
        <w:r w:rsidR="00DE53C3">
          <w:rPr>
            <w:rFonts w:eastAsiaTheme="minorEastAsia" w:cstheme="minorBidi"/>
            <w:noProof/>
            <w:sz w:val="22"/>
            <w:szCs w:val="22"/>
            <w:lang w:eastAsia="en-GB" w:bidi="ar-SA"/>
          </w:rPr>
          <w:tab/>
        </w:r>
        <w:r w:rsidR="00DE53C3" w:rsidRPr="0008406E">
          <w:rPr>
            <w:rStyle w:val="Hyperlink"/>
            <w:noProof/>
          </w:rPr>
          <w:t>Exclusivity</w:t>
        </w:r>
        <w:r w:rsidR="00DE53C3">
          <w:rPr>
            <w:noProof/>
            <w:webHidden/>
          </w:rPr>
          <w:tab/>
        </w:r>
        <w:r w:rsidR="00DE53C3">
          <w:rPr>
            <w:noProof/>
            <w:webHidden/>
          </w:rPr>
          <w:fldChar w:fldCharType="begin"/>
        </w:r>
        <w:r w:rsidR="00DE53C3">
          <w:rPr>
            <w:noProof/>
            <w:webHidden/>
          </w:rPr>
          <w:instrText xml:space="preserve"> PAGEREF _Toc100402954 \h </w:instrText>
        </w:r>
        <w:r w:rsidR="00DE53C3">
          <w:rPr>
            <w:noProof/>
            <w:webHidden/>
          </w:rPr>
        </w:r>
        <w:r w:rsidR="00DE53C3">
          <w:rPr>
            <w:noProof/>
            <w:webHidden/>
          </w:rPr>
          <w:fldChar w:fldCharType="separate"/>
        </w:r>
        <w:r w:rsidR="003A3DCF">
          <w:rPr>
            <w:noProof/>
            <w:webHidden/>
          </w:rPr>
          <w:t>16</w:t>
        </w:r>
        <w:r w:rsidR="00DE53C3">
          <w:rPr>
            <w:noProof/>
            <w:webHidden/>
          </w:rPr>
          <w:fldChar w:fldCharType="end"/>
        </w:r>
      </w:hyperlink>
    </w:p>
    <w:p w14:paraId="6C9EADF0" w14:textId="3F7813B6" w:rsidR="00DE53C3" w:rsidRDefault="001C16A2" w:rsidP="00DE53C3">
      <w:pPr>
        <w:pStyle w:val="TOC2"/>
        <w:rPr>
          <w:rFonts w:eastAsiaTheme="minorEastAsia" w:cstheme="minorBidi"/>
          <w:noProof/>
          <w:sz w:val="22"/>
          <w:szCs w:val="22"/>
          <w:lang w:eastAsia="en-GB" w:bidi="ar-SA"/>
        </w:rPr>
      </w:pPr>
      <w:hyperlink w:anchor="_Toc100402955" w:history="1">
        <w:r w:rsidR="00DE53C3" w:rsidRPr="0008406E">
          <w:rPr>
            <w:rStyle w:val="Hyperlink"/>
            <w:noProof/>
          </w:rPr>
          <w:t>3.4</w:t>
        </w:r>
        <w:r w:rsidR="00DE53C3">
          <w:rPr>
            <w:rFonts w:eastAsiaTheme="minorEastAsia" w:cstheme="minorBidi"/>
            <w:noProof/>
            <w:sz w:val="22"/>
            <w:szCs w:val="22"/>
            <w:lang w:eastAsia="en-GB" w:bidi="ar-SA"/>
          </w:rPr>
          <w:tab/>
        </w:r>
        <w:r w:rsidR="00DE53C3" w:rsidRPr="0008406E">
          <w:rPr>
            <w:rStyle w:val="Hyperlink"/>
            <w:noProof/>
          </w:rPr>
          <w:t>The five year review for 2′-FL in Infant Formula Products</w:t>
        </w:r>
        <w:r w:rsidR="00DE53C3">
          <w:rPr>
            <w:noProof/>
            <w:webHidden/>
          </w:rPr>
          <w:tab/>
        </w:r>
        <w:r w:rsidR="00DE53C3">
          <w:rPr>
            <w:noProof/>
            <w:webHidden/>
          </w:rPr>
          <w:fldChar w:fldCharType="begin"/>
        </w:r>
        <w:r w:rsidR="00DE53C3">
          <w:rPr>
            <w:noProof/>
            <w:webHidden/>
          </w:rPr>
          <w:instrText xml:space="preserve"> PAGEREF _Toc100402955 \h </w:instrText>
        </w:r>
        <w:r w:rsidR="00DE53C3">
          <w:rPr>
            <w:noProof/>
            <w:webHidden/>
          </w:rPr>
        </w:r>
        <w:r w:rsidR="00DE53C3">
          <w:rPr>
            <w:noProof/>
            <w:webHidden/>
          </w:rPr>
          <w:fldChar w:fldCharType="separate"/>
        </w:r>
        <w:r w:rsidR="003A3DCF">
          <w:rPr>
            <w:noProof/>
            <w:webHidden/>
          </w:rPr>
          <w:t>16</w:t>
        </w:r>
        <w:r w:rsidR="00DE53C3">
          <w:rPr>
            <w:noProof/>
            <w:webHidden/>
          </w:rPr>
          <w:fldChar w:fldCharType="end"/>
        </w:r>
      </w:hyperlink>
    </w:p>
    <w:p w14:paraId="1E83D112" w14:textId="12B01914" w:rsidR="00DE53C3" w:rsidRDefault="001C16A2" w:rsidP="00DE53C3">
      <w:pPr>
        <w:pStyle w:val="TOC2"/>
        <w:rPr>
          <w:rFonts w:eastAsiaTheme="minorEastAsia" w:cstheme="minorBidi"/>
          <w:noProof/>
          <w:sz w:val="22"/>
          <w:szCs w:val="22"/>
          <w:lang w:eastAsia="en-GB" w:bidi="ar-SA"/>
        </w:rPr>
      </w:pPr>
      <w:hyperlink w:anchor="_Toc100402956" w:history="1">
        <w:r w:rsidR="00DE53C3" w:rsidRPr="0008406E">
          <w:rPr>
            <w:rStyle w:val="Hyperlink"/>
            <w:noProof/>
          </w:rPr>
          <w:t>3.5</w:t>
        </w:r>
        <w:r w:rsidR="00DE53C3">
          <w:rPr>
            <w:rFonts w:eastAsiaTheme="minorEastAsia" w:cstheme="minorBidi"/>
            <w:noProof/>
            <w:sz w:val="22"/>
            <w:szCs w:val="22"/>
            <w:lang w:eastAsia="en-GB" w:bidi="ar-SA"/>
          </w:rPr>
          <w:tab/>
        </w:r>
        <w:r w:rsidR="00DE53C3" w:rsidRPr="0008406E">
          <w:rPr>
            <w:rStyle w:val="Hyperlink"/>
            <w:noProof/>
          </w:rPr>
          <w:t>Labelling</w:t>
        </w:r>
        <w:r w:rsidR="00DE53C3">
          <w:rPr>
            <w:noProof/>
            <w:webHidden/>
          </w:rPr>
          <w:tab/>
        </w:r>
        <w:r w:rsidR="00DE53C3">
          <w:rPr>
            <w:noProof/>
            <w:webHidden/>
          </w:rPr>
          <w:fldChar w:fldCharType="begin"/>
        </w:r>
        <w:r w:rsidR="00DE53C3">
          <w:rPr>
            <w:noProof/>
            <w:webHidden/>
          </w:rPr>
          <w:instrText xml:space="preserve"> PAGEREF _Toc100402956 \h </w:instrText>
        </w:r>
        <w:r w:rsidR="00DE53C3">
          <w:rPr>
            <w:noProof/>
            <w:webHidden/>
          </w:rPr>
        </w:r>
        <w:r w:rsidR="00DE53C3">
          <w:rPr>
            <w:noProof/>
            <w:webHidden/>
          </w:rPr>
          <w:fldChar w:fldCharType="separate"/>
        </w:r>
        <w:r w:rsidR="003A3DCF">
          <w:rPr>
            <w:noProof/>
            <w:webHidden/>
          </w:rPr>
          <w:t>17</w:t>
        </w:r>
        <w:r w:rsidR="00DE53C3">
          <w:rPr>
            <w:noProof/>
            <w:webHidden/>
          </w:rPr>
          <w:fldChar w:fldCharType="end"/>
        </w:r>
      </w:hyperlink>
    </w:p>
    <w:p w14:paraId="41F853EA" w14:textId="1D3D7074" w:rsidR="00DE53C3" w:rsidRDefault="001C16A2" w:rsidP="00DE53C3">
      <w:pPr>
        <w:pStyle w:val="TOC2"/>
        <w:rPr>
          <w:rFonts w:eastAsiaTheme="minorEastAsia" w:cstheme="minorBidi"/>
          <w:noProof/>
          <w:sz w:val="22"/>
          <w:szCs w:val="22"/>
          <w:lang w:eastAsia="en-GB" w:bidi="ar-SA"/>
        </w:rPr>
      </w:pPr>
      <w:hyperlink w:anchor="_Toc100402957" w:history="1">
        <w:r w:rsidR="00DE53C3" w:rsidRPr="0008406E">
          <w:rPr>
            <w:rStyle w:val="Hyperlink"/>
            <w:noProof/>
          </w:rPr>
          <w:t>3.6</w:t>
        </w:r>
        <w:r w:rsidR="00DE53C3">
          <w:rPr>
            <w:rFonts w:eastAsiaTheme="minorEastAsia" w:cstheme="minorBidi"/>
            <w:noProof/>
            <w:sz w:val="22"/>
            <w:szCs w:val="22"/>
            <w:lang w:eastAsia="en-GB" w:bidi="ar-SA"/>
          </w:rPr>
          <w:tab/>
        </w:r>
        <w:r w:rsidR="00DE53C3" w:rsidRPr="0008406E">
          <w:rPr>
            <w:rStyle w:val="Hyperlink"/>
            <w:noProof/>
          </w:rPr>
          <w:t>Risk management conclusion</w:t>
        </w:r>
        <w:r w:rsidR="00DE53C3">
          <w:rPr>
            <w:noProof/>
            <w:webHidden/>
          </w:rPr>
          <w:tab/>
        </w:r>
        <w:r w:rsidR="00DE53C3">
          <w:rPr>
            <w:noProof/>
            <w:webHidden/>
          </w:rPr>
          <w:fldChar w:fldCharType="begin"/>
        </w:r>
        <w:r w:rsidR="00DE53C3">
          <w:rPr>
            <w:noProof/>
            <w:webHidden/>
          </w:rPr>
          <w:instrText xml:space="preserve"> PAGEREF _Toc100402957 \h </w:instrText>
        </w:r>
        <w:r w:rsidR="00DE53C3">
          <w:rPr>
            <w:noProof/>
            <w:webHidden/>
          </w:rPr>
        </w:r>
        <w:r w:rsidR="00DE53C3">
          <w:rPr>
            <w:noProof/>
            <w:webHidden/>
          </w:rPr>
          <w:fldChar w:fldCharType="separate"/>
        </w:r>
        <w:r w:rsidR="003A3DCF">
          <w:rPr>
            <w:noProof/>
            <w:webHidden/>
          </w:rPr>
          <w:t>18</w:t>
        </w:r>
        <w:r w:rsidR="00DE53C3">
          <w:rPr>
            <w:noProof/>
            <w:webHidden/>
          </w:rPr>
          <w:fldChar w:fldCharType="end"/>
        </w:r>
      </w:hyperlink>
    </w:p>
    <w:p w14:paraId="6EB81092" w14:textId="4D67CCB5" w:rsidR="00DE53C3" w:rsidRDefault="00DE53C3" w:rsidP="00442FCE">
      <w:pPr>
        <w:pStyle w:val="TOC1"/>
        <w:rPr>
          <w:rFonts w:eastAsiaTheme="minorEastAsia" w:cstheme="minorBidi"/>
          <w:noProof/>
          <w:sz w:val="22"/>
          <w:szCs w:val="22"/>
          <w:lang w:eastAsia="en-GB" w:bidi="ar-SA"/>
        </w:rPr>
      </w:pPr>
      <w:r w:rsidRPr="00247F93">
        <w:rPr>
          <w:rStyle w:val="Hyperlink"/>
          <w:noProof/>
          <w:color w:val="auto"/>
          <w:u w:val="none"/>
        </w:rPr>
        <w:t>4</w:t>
      </w:r>
      <w:r w:rsidRPr="00247F93">
        <w:rPr>
          <w:rStyle w:val="Hyperlink"/>
          <w:noProof/>
          <w:u w:val="none"/>
        </w:rPr>
        <w:t xml:space="preserve">      </w:t>
      </w:r>
      <w:hyperlink w:anchor="_Toc100402958" w:history="1">
        <w:r w:rsidRPr="0008406E">
          <w:rPr>
            <w:rStyle w:val="Hyperlink"/>
            <w:noProof/>
          </w:rPr>
          <w:t>Risk communication</w:t>
        </w:r>
        <w:r>
          <w:rPr>
            <w:noProof/>
            <w:webHidden/>
          </w:rPr>
          <w:tab/>
        </w:r>
        <w:r>
          <w:rPr>
            <w:noProof/>
            <w:webHidden/>
          </w:rPr>
          <w:fldChar w:fldCharType="begin"/>
        </w:r>
        <w:r>
          <w:rPr>
            <w:noProof/>
            <w:webHidden/>
          </w:rPr>
          <w:instrText xml:space="preserve"> PAGEREF _Toc100402958 \h </w:instrText>
        </w:r>
        <w:r>
          <w:rPr>
            <w:noProof/>
            <w:webHidden/>
          </w:rPr>
        </w:r>
        <w:r>
          <w:rPr>
            <w:noProof/>
            <w:webHidden/>
          </w:rPr>
          <w:fldChar w:fldCharType="separate"/>
        </w:r>
        <w:r w:rsidR="003A3DCF">
          <w:rPr>
            <w:noProof/>
            <w:webHidden/>
          </w:rPr>
          <w:t>18</w:t>
        </w:r>
        <w:r>
          <w:rPr>
            <w:noProof/>
            <w:webHidden/>
          </w:rPr>
          <w:fldChar w:fldCharType="end"/>
        </w:r>
      </w:hyperlink>
    </w:p>
    <w:p w14:paraId="2660A5B4" w14:textId="04D9ACF6" w:rsidR="00DE53C3" w:rsidRDefault="001C16A2" w:rsidP="00DE53C3">
      <w:pPr>
        <w:pStyle w:val="TOC2"/>
        <w:rPr>
          <w:rFonts w:eastAsiaTheme="minorEastAsia" w:cstheme="minorBidi"/>
          <w:noProof/>
          <w:sz w:val="22"/>
          <w:szCs w:val="22"/>
          <w:lang w:eastAsia="en-GB" w:bidi="ar-SA"/>
        </w:rPr>
      </w:pPr>
      <w:hyperlink w:anchor="_Toc100402959" w:history="1">
        <w:r w:rsidR="00DE53C3" w:rsidRPr="0008406E">
          <w:rPr>
            <w:rStyle w:val="Hyperlink"/>
            <w:noProof/>
          </w:rPr>
          <w:t>4.1</w:t>
        </w:r>
        <w:r w:rsidR="00DE53C3">
          <w:rPr>
            <w:rFonts w:eastAsiaTheme="minorEastAsia" w:cstheme="minorBidi"/>
            <w:noProof/>
            <w:sz w:val="22"/>
            <w:szCs w:val="22"/>
            <w:lang w:eastAsia="en-GB" w:bidi="ar-SA"/>
          </w:rPr>
          <w:tab/>
        </w:r>
        <w:r w:rsidR="00DE53C3" w:rsidRPr="0008406E">
          <w:rPr>
            <w:rStyle w:val="Hyperlink"/>
            <w:noProof/>
          </w:rPr>
          <w:t>Consultation</w:t>
        </w:r>
        <w:r w:rsidR="00DE53C3">
          <w:rPr>
            <w:noProof/>
            <w:webHidden/>
          </w:rPr>
          <w:tab/>
        </w:r>
        <w:r w:rsidR="00DE53C3">
          <w:rPr>
            <w:noProof/>
            <w:webHidden/>
          </w:rPr>
          <w:fldChar w:fldCharType="begin"/>
        </w:r>
        <w:r w:rsidR="00DE53C3">
          <w:rPr>
            <w:noProof/>
            <w:webHidden/>
          </w:rPr>
          <w:instrText xml:space="preserve"> PAGEREF _Toc100402959 \h </w:instrText>
        </w:r>
        <w:r w:rsidR="00DE53C3">
          <w:rPr>
            <w:noProof/>
            <w:webHidden/>
          </w:rPr>
        </w:r>
        <w:r w:rsidR="00DE53C3">
          <w:rPr>
            <w:noProof/>
            <w:webHidden/>
          </w:rPr>
          <w:fldChar w:fldCharType="separate"/>
        </w:r>
        <w:r w:rsidR="003A3DCF">
          <w:rPr>
            <w:noProof/>
            <w:webHidden/>
          </w:rPr>
          <w:t>18</w:t>
        </w:r>
        <w:r w:rsidR="00DE53C3">
          <w:rPr>
            <w:noProof/>
            <w:webHidden/>
          </w:rPr>
          <w:fldChar w:fldCharType="end"/>
        </w:r>
      </w:hyperlink>
    </w:p>
    <w:p w14:paraId="64C1BD2F" w14:textId="2FDCBBD9" w:rsidR="00DE53C3" w:rsidRDefault="001C16A2" w:rsidP="00442FCE">
      <w:pPr>
        <w:pStyle w:val="TOC1"/>
        <w:rPr>
          <w:rFonts w:eastAsiaTheme="minorEastAsia" w:cstheme="minorBidi"/>
          <w:noProof/>
          <w:sz w:val="22"/>
          <w:szCs w:val="22"/>
          <w:lang w:eastAsia="en-GB" w:bidi="ar-SA"/>
        </w:rPr>
      </w:pPr>
      <w:hyperlink w:anchor="_Toc100402960" w:history="1">
        <w:r w:rsidR="00DE53C3" w:rsidRPr="0008406E">
          <w:rPr>
            <w:rStyle w:val="Hyperlink"/>
            <w:noProof/>
          </w:rPr>
          <w:t>5</w:t>
        </w:r>
        <w:r w:rsidR="00DE53C3">
          <w:rPr>
            <w:rFonts w:eastAsiaTheme="minorEastAsia" w:cstheme="minorBidi"/>
            <w:noProof/>
            <w:sz w:val="22"/>
            <w:szCs w:val="22"/>
            <w:lang w:eastAsia="en-GB" w:bidi="ar-SA"/>
          </w:rPr>
          <w:t xml:space="preserve">    </w:t>
        </w:r>
        <w:r w:rsidR="00DE53C3" w:rsidRPr="0008406E">
          <w:rPr>
            <w:rStyle w:val="Hyperlink"/>
            <w:noProof/>
          </w:rPr>
          <w:t>FSANZ Act assessment requirements</w:t>
        </w:r>
        <w:r w:rsidR="00DE53C3">
          <w:rPr>
            <w:noProof/>
            <w:webHidden/>
          </w:rPr>
          <w:tab/>
        </w:r>
        <w:r w:rsidR="00DE53C3">
          <w:rPr>
            <w:noProof/>
            <w:webHidden/>
          </w:rPr>
          <w:fldChar w:fldCharType="begin"/>
        </w:r>
        <w:r w:rsidR="00DE53C3">
          <w:rPr>
            <w:noProof/>
            <w:webHidden/>
          </w:rPr>
          <w:instrText xml:space="preserve"> PAGEREF _Toc100402960 \h </w:instrText>
        </w:r>
        <w:r w:rsidR="00DE53C3">
          <w:rPr>
            <w:noProof/>
            <w:webHidden/>
          </w:rPr>
        </w:r>
        <w:r w:rsidR="00DE53C3">
          <w:rPr>
            <w:noProof/>
            <w:webHidden/>
          </w:rPr>
          <w:fldChar w:fldCharType="separate"/>
        </w:r>
        <w:r w:rsidR="003A3DCF">
          <w:rPr>
            <w:noProof/>
            <w:webHidden/>
          </w:rPr>
          <w:t>19</w:t>
        </w:r>
        <w:r w:rsidR="00DE53C3">
          <w:rPr>
            <w:noProof/>
            <w:webHidden/>
          </w:rPr>
          <w:fldChar w:fldCharType="end"/>
        </w:r>
      </w:hyperlink>
    </w:p>
    <w:p w14:paraId="7783A942" w14:textId="42CEB55E" w:rsidR="00DE53C3" w:rsidRDefault="001C16A2" w:rsidP="00DE53C3">
      <w:pPr>
        <w:pStyle w:val="TOC2"/>
        <w:rPr>
          <w:rFonts w:eastAsiaTheme="minorEastAsia" w:cstheme="minorBidi"/>
          <w:noProof/>
          <w:sz w:val="22"/>
          <w:szCs w:val="22"/>
          <w:lang w:eastAsia="en-GB" w:bidi="ar-SA"/>
        </w:rPr>
      </w:pPr>
      <w:hyperlink w:anchor="_Toc100402961" w:history="1">
        <w:r w:rsidR="00DE53C3" w:rsidRPr="0008406E">
          <w:rPr>
            <w:rStyle w:val="Hyperlink"/>
            <w:noProof/>
          </w:rPr>
          <w:t>5.1</w:t>
        </w:r>
        <w:r w:rsidR="00DE53C3">
          <w:rPr>
            <w:rFonts w:eastAsiaTheme="minorEastAsia" w:cstheme="minorBidi"/>
            <w:noProof/>
            <w:sz w:val="22"/>
            <w:szCs w:val="22"/>
            <w:lang w:eastAsia="en-GB" w:bidi="ar-SA"/>
          </w:rPr>
          <w:tab/>
        </w:r>
        <w:r w:rsidR="00DE53C3" w:rsidRPr="0008406E">
          <w:rPr>
            <w:rStyle w:val="Hyperlink"/>
            <w:noProof/>
          </w:rPr>
          <w:t>Section 29</w:t>
        </w:r>
        <w:r w:rsidR="00DE53C3">
          <w:rPr>
            <w:noProof/>
            <w:webHidden/>
          </w:rPr>
          <w:tab/>
        </w:r>
        <w:r w:rsidR="00DE53C3">
          <w:rPr>
            <w:noProof/>
            <w:webHidden/>
          </w:rPr>
          <w:fldChar w:fldCharType="begin"/>
        </w:r>
        <w:r w:rsidR="00DE53C3">
          <w:rPr>
            <w:noProof/>
            <w:webHidden/>
          </w:rPr>
          <w:instrText xml:space="preserve"> PAGEREF _Toc100402961 \h </w:instrText>
        </w:r>
        <w:r w:rsidR="00DE53C3">
          <w:rPr>
            <w:noProof/>
            <w:webHidden/>
          </w:rPr>
        </w:r>
        <w:r w:rsidR="00DE53C3">
          <w:rPr>
            <w:noProof/>
            <w:webHidden/>
          </w:rPr>
          <w:fldChar w:fldCharType="separate"/>
        </w:r>
        <w:r w:rsidR="003A3DCF">
          <w:rPr>
            <w:noProof/>
            <w:webHidden/>
          </w:rPr>
          <w:t>19</w:t>
        </w:r>
        <w:r w:rsidR="00DE53C3">
          <w:rPr>
            <w:noProof/>
            <w:webHidden/>
          </w:rPr>
          <w:fldChar w:fldCharType="end"/>
        </w:r>
      </w:hyperlink>
    </w:p>
    <w:p w14:paraId="11014C7B" w14:textId="0EC46730" w:rsidR="00DE53C3" w:rsidRDefault="001C16A2" w:rsidP="00DE53C3">
      <w:pPr>
        <w:pStyle w:val="TOC2"/>
        <w:rPr>
          <w:rFonts w:eastAsiaTheme="minorEastAsia" w:cstheme="minorBidi"/>
          <w:noProof/>
          <w:sz w:val="22"/>
          <w:szCs w:val="22"/>
          <w:lang w:eastAsia="en-GB" w:bidi="ar-SA"/>
        </w:rPr>
      </w:pPr>
      <w:hyperlink w:anchor="_Toc100402962" w:history="1">
        <w:r w:rsidR="00DE53C3" w:rsidRPr="0008406E">
          <w:rPr>
            <w:rStyle w:val="Hyperlink"/>
            <w:noProof/>
          </w:rPr>
          <w:t>5.2</w:t>
        </w:r>
        <w:r w:rsidR="00DE53C3">
          <w:rPr>
            <w:rFonts w:eastAsiaTheme="minorEastAsia" w:cstheme="minorBidi"/>
            <w:noProof/>
            <w:sz w:val="22"/>
            <w:szCs w:val="22"/>
            <w:lang w:eastAsia="en-GB" w:bidi="ar-SA"/>
          </w:rPr>
          <w:tab/>
        </w:r>
        <w:r w:rsidR="00DE53C3" w:rsidRPr="0008406E">
          <w:rPr>
            <w:rStyle w:val="Hyperlink"/>
            <w:noProof/>
          </w:rPr>
          <w:t>Subsection 18(1)</w:t>
        </w:r>
        <w:r w:rsidR="00DE53C3">
          <w:rPr>
            <w:noProof/>
            <w:webHidden/>
          </w:rPr>
          <w:tab/>
        </w:r>
        <w:r w:rsidR="00DE53C3">
          <w:rPr>
            <w:noProof/>
            <w:webHidden/>
          </w:rPr>
          <w:fldChar w:fldCharType="begin"/>
        </w:r>
        <w:r w:rsidR="00DE53C3">
          <w:rPr>
            <w:noProof/>
            <w:webHidden/>
          </w:rPr>
          <w:instrText xml:space="preserve"> PAGEREF _Toc100402962 \h </w:instrText>
        </w:r>
        <w:r w:rsidR="00DE53C3">
          <w:rPr>
            <w:noProof/>
            <w:webHidden/>
          </w:rPr>
        </w:r>
        <w:r w:rsidR="00DE53C3">
          <w:rPr>
            <w:noProof/>
            <w:webHidden/>
          </w:rPr>
          <w:fldChar w:fldCharType="separate"/>
        </w:r>
        <w:r w:rsidR="003A3DCF">
          <w:rPr>
            <w:noProof/>
            <w:webHidden/>
          </w:rPr>
          <w:t>20</w:t>
        </w:r>
        <w:r w:rsidR="00DE53C3">
          <w:rPr>
            <w:noProof/>
            <w:webHidden/>
          </w:rPr>
          <w:fldChar w:fldCharType="end"/>
        </w:r>
      </w:hyperlink>
    </w:p>
    <w:p w14:paraId="79DFB5C4" w14:textId="586FFF6F" w:rsidR="00DE53C3" w:rsidRDefault="001C16A2" w:rsidP="00DE53C3">
      <w:pPr>
        <w:pStyle w:val="TOC2"/>
        <w:rPr>
          <w:rFonts w:eastAsiaTheme="minorEastAsia" w:cstheme="minorBidi"/>
          <w:noProof/>
          <w:sz w:val="22"/>
          <w:szCs w:val="22"/>
          <w:lang w:eastAsia="en-GB" w:bidi="ar-SA"/>
        </w:rPr>
      </w:pPr>
      <w:hyperlink w:anchor="_Toc100402963" w:history="1">
        <w:r w:rsidR="00DE53C3" w:rsidRPr="0008406E">
          <w:rPr>
            <w:rStyle w:val="Hyperlink"/>
            <w:noProof/>
          </w:rPr>
          <w:t>5.3</w:t>
        </w:r>
        <w:r w:rsidR="00DE53C3">
          <w:rPr>
            <w:rFonts w:eastAsiaTheme="minorEastAsia" w:cstheme="minorBidi"/>
            <w:noProof/>
            <w:sz w:val="22"/>
            <w:szCs w:val="22"/>
            <w:lang w:eastAsia="en-GB" w:bidi="ar-SA"/>
          </w:rPr>
          <w:tab/>
        </w:r>
        <w:r w:rsidR="00DE53C3" w:rsidRPr="0008406E">
          <w:rPr>
            <w:rStyle w:val="Hyperlink"/>
            <w:noProof/>
          </w:rPr>
          <w:t>Subsection 18(2) considerations</w:t>
        </w:r>
        <w:r w:rsidR="00DE53C3">
          <w:rPr>
            <w:noProof/>
            <w:webHidden/>
          </w:rPr>
          <w:tab/>
        </w:r>
        <w:r w:rsidR="00DE53C3">
          <w:rPr>
            <w:noProof/>
            <w:webHidden/>
          </w:rPr>
          <w:fldChar w:fldCharType="begin"/>
        </w:r>
        <w:r w:rsidR="00DE53C3">
          <w:rPr>
            <w:noProof/>
            <w:webHidden/>
          </w:rPr>
          <w:instrText xml:space="preserve"> PAGEREF _Toc100402963 \h </w:instrText>
        </w:r>
        <w:r w:rsidR="00DE53C3">
          <w:rPr>
            <w:noProof/>
            <w:webHidden/>
          </w:rPr>
        </w:r>
        <w:r w:rsidR="00DE53C3">
          <w:rPr>
            <w:noProof/>
            <w:webHidden/>
          </w:rPr>
          <w:fldChar w:fldCharType="separate"/>
        </w:r>
        <w:r w:rsidR="003A3DCF">
          <w:rPr>
            <w:noProof/>
            <w:webHidden/>
          </w:rPr>
          <w:t>21</w:t>
        </w:r>
        <w:r w:rsidR="00DE53C3">
          <w:rPr>
            <w:noProof/>
            <w:webHidden/>
          </w:rPr>
          <w:fldChar w:fldCharType="end"/>
        </w:r>
      </w:hyperlink>
    </w:p>
    <w:p w14:paraId="164D0B0E" w14:textId="38547E0C" w:rsidR="00DE53C3" w:rsidRDefault="001C16A2" w:rsidP="00442FCE">
      <w:pPr>
        <w:pStyle w:val="TOC1"/>
        <w:rPr>
          <w:rFonts w:eastAsiaTheme="minorEastAsia" w:cstheme="minorBidi"/>
          <w:noProof/>
          <w:sz w:val="22"/>
          <w:szCs w:val="22"/>
          <w:lang w:eastAsia="en-GB" w:bidi="ar-SA"/>
        </w:rPr>
      </w:pPr>
      <w:hyperlink w:anchor="_Toc100402964" w:history="1">
        <w:r w:rsidR="00DE53C3" w:rsidRPr="0008406E">
          <w:rPr>
            <w:rStyle w:val="Hyperlink"/>
            <w:noProof/>
          </w:rPr>
          <w:t>6</w:t>
        </w:r>
        <w:r w:rsidR="00DE53C3">
          <w:rPr>
            <w:rFonts w:eastAsiaTheme="minorEastAsia" w:cstheme="minorBidi"/>
            <w:noProof/>
            <w:sz w:val="22"/>
            <w:szCs w:val="22"/>
            <w:lang w:eastAsia="en-GB" w:bidi="ar-SA"/>
          </w:rPr>
          <w:t xml:space="preserve">   </w:t>
        </w:r>
        <w:r w:rsidR="00DE53C3" w:rsidRPr="0008406E">
          <w:rPr>
            <w:rStyle w:val="Hyperlink"/>
            <w:noProof/>
          </w:rPr>
          <w:t>References</w:t>
        </w:r>
        <w:r w:rsidR="00DE53C3">
          <w:rPr>
            <w:noProof/>
            <w:webHidden/>
          </w:rPr>
          <w:tab/>
        </w:r>
        <w:r w:rsidR="00DE53C3">
          <w:rPr>
            <w:noProof/>
            <w:webHidden/>
          </w:rPr>
          <w:fldChar w:fldCharType="begin"/>
        </w:r>
        <w:r w:rsidR="00DE53C3">
          <w:rPr>
            <w:noProof/>
            <w:webHidden/>
          </w:rPr>
          <w:instrText xml:space="preserve"> PAGEREF _Toc100402964 \h </w:instrText>
        </w:r>
        <w:r w:rsidR="00DE53C3">
          <w:rPr>
            <w:noProof/>
            <w:webHidden/>
          </w:rPr>
        </w:r>
        <w:r w:rsidR="00DE53C3">
          <w:rPr>
            <w:noProof/>
            <w:webHidden/>
          </w:rPr>
          <w:fldChar w:fldCharType="separate"/>
        </w:r>
        <w:r w:rsidR="003A3DCF">
          <w:rPr>
            <w:noProof/>
            <w:webHidden/>
          </w:rPr>
          <w:t>22</w:t>
        </w:r>
        <w:r w:rsidR="00DE53C3">
          <w:rPr>
            <w:noProof/>
            <w:webHidden/>
          </w:rPr>
          <w:fldChar w:fldCharType="end"/>
        </w:r>
      </w:hyperlink>
    </w:p>
    <w:p w14:paraId="3A89A36F" w14:textId="3881BC8C" w:rsidR="00DE53C3" w:rsidRDefault="001C16A2" w:rsidP="00DE53C3">
      <w:pPr>
        <w:pStyle w:val="TOC2"/>
        <w:rPr>
          <w:rFonts w:eastAsiaTheme="minorEastAsia" w:cstheme="minorBidi"/>
          <w:noProof/>
          <w:sz w:val="22"/>
          <w:szCs w:val="22"/>
          <w:lang w:eastAsia="en-GB" w:bidi="ar-SA"/>
        </w:rPr>
      </w:pPr>
      <w:hyperlink w:anchor="_Toc100402965" w:history="1">
        <w:r w:rsidR="00DE53C3" w:rsidRPr="0008406E">
          <w:rPr>
            <w:rStyle w:val="Hyperlink"/>
            <w:noProof/>
          </w:rPr>
          <w:t>Attachment A – Approved draft variation to the Australia New</w:t>
        </w:r>
      </w:hyperlink>
      <w:hyperlink w:anchor="_Toc100402966" w:history="1">
        <w:r w:rsidR="00DE53C3" w:rsidRPr="0008406E">
          <w:rPr>
            <w:rStyle w:val="Hyperlink"/>
            <w:noProof/>
          </w:rPr>
          <w:t>Zealand Food Standards Code</w:t>
        </w:r>
        <w:r w:rsidR="00DE53C3">
          <w:rPr>
            <w:noProof/>
            <w:webHidden/>
          </w:rPr>
          <w:tab/>
        </w:r>
        <w:r w:rsidR="00DE53C3">
          <w:rPr>
            <w:noProof/>
            <w:webHidden/>
          </w:rPr>
          <w:fldChar w:fldCharType="begin"/>
        </w:r>
        <w:r w:rsidR="00DE53C3">
          <w:rPr>
            <w:noProof/>
            <w:webHidden/>
          </w:rPr>
          <w:instrText xml:space="preserve"> PAGEREF _Toc100402966 \h </w:instrText>
        </w:r>
        <w:r w:rsidR="00DE53C3">
          <w:rPr>
            <w:noProof/>
            <w:webHidden/>
          </w:rPr>
        </w:r>
        <w:r w:rsidR="00DE53C3">
          <w:rPr>
            <w:noProof/>
            <w:webHidden/>
          </w:rPr>
          <w:fldChar w:fldCharType="separate"/>
        </w:r>
        <w:r w:rsidR="003A3DCF">
          <w:rPr>
            <w:noProof/>
            <w:webHidden/>
          </w:rPr>
          <w:t>24</w:t>
        </w:r>
        <w:r w:rsidR="00DE53C3">
          <w:rPr>
            <w:noProof/>
            <w:webHidden/>
          </w:rPr>
          <w:fldChar w:fldCharType="end"/>
        </w:r>
      </w:hyperlink>
    </w:p>
    <w:p w14:paraId="4D4FA7A0" w14:textId="632B2060" w:rsidR="00DE53C3" w:rsidRDefault="001C16A2" w:rsidP="00DE53C3">
      <w:pPr>
        <w:pStyle w:val="TOC2"/>
        <w:rPr>
          <w:rFonts w:eastAsiaTheme="minorEastAsia" w:cstheme="minorBidi"/>
          <w:noProof/>
          <w:sz w:val="22"/>
          <w:szCs w:val="22"/>
          <w:lang w:eastAsia="en-GB" w:bidi="ar-SA"/>
        </w:rPr>
      </w:pPr>
      <w:hyperlink w:anchor="_Toc100402967" w:history="1">
        <w:r w:rsidR="00DE53C3" w:rsidRPr="0008406E">
          <w:rPr>
            <w:rStyle w:val="Hyperlink"/>
            <w:noProof/>
          </w:rPr>
          <w:t>Attachment B – Explanatory Statement</w:t>
        </w:r>
        <w:r w:rsidR="00DE53C3">
          <w:rPr>
            <w:noProof/>
            <w:webHidden/>
          </w:rPr>
          <w:tab/>
        </w:r>
        <w:r w:rsidR="00DE53C3">
          <w:rPr>
            <w:noProof/>
            <w:webHidden/>
          </w:rPr>
          <w:fldChar w:fldCharType="begin"/>
        </w:r>
        <w:r w:rsidR="00DE53C3">
          <w:rPr>
            <w:noProof/>
            <w:webHidden/>
          </w:rPr>
          <w:instrText xml:space="preserve"> PAGEREF _Toc100402967 \h </w:instrText>
        </w:r>
        <w:r w:rsidR="00DE53C3">
          <w:rPr>
            <w:noProof/>
            <w:webHidden/>
          </w:rPr>
        </w:r>
        <w:r w:rsidR="00DE53C3">
          <w:rPr>
            <w:noProof/>
            <w:webHidden/>
          </w:rPr>
          <w:fldChar w:fldCharType="separate"/>
        </w:r>
        <w:r w:rsidR="003A3DCF">
          <w:rPr>
            <w:noProof/>
            <w:webHidden/>
          </w:rPr>
          <w:t>27</w:t>
        </w:r>
        <w:r w:rsidR="00DE53C3">
          <w:rPr>
            <w:noProof/>
            <w:webHidden/>
          </w:rPr>
          <w:fldChar w:fldCharType="end"/>
        </w:r>
      </w:hyperlink>
    </w:p>
    <w:p w14:paraId="03DE77DA" w14:textId="124EABB5" w:rsidR="00DE53C3" w:rsidRDefault="001C16A2" w:rsidP="00DE53C3">
      <w:pPr>
        <w:pStyle w:val="TOC2"/>
        <w:rPr>
          <w:rFonts w:eastAsiaTheme="minorEastAsia" w:cstheme="minorBidi"/>
          <w:noProof/>
          <w:sz w:val="22"/>
          <w:szCs w:val="22"/>
          <w:lang w:eastAsia="en-GB" w:bidi="ar-SA"/>
        </w:rPr>
      </w:pPr>
      <w:hyperlink w:anchor="_Toc100402968" w:history="1">
        <w:r w:rsidR="00DE53C3" w:rsidRPr="0008406E">
          <w:rPr>
            <w:rStyle w:val="Hyperlink"/>
            <w:noProof/>
          </w:rPr>
          <w:t xml:space="preserve">Attachment C – Draft variation to the </w:t>
        </w:r>
        <w:r w:rsidR="00DE53C3" w:rsidRPr="0008406E">
          <w:rPr>
            <w:rStyle w:val="Hyperlink"/>
            <w:i/>
            <w:noProof/>
          </w:rPr>
          <w:t xml:space="preserve">Australia New Zealand Food Standards Code </w:t>
        </w:r>
        <w:r w:rsidR="00DE53C3" w:rsidRPr="0008406E">
          <w:rPr>
            <w:rStyle w:val="Hyperlink"/>
            <w:noProof/>
          </w:rPr>
          <w:t>(call for submissions)</w:t>
        </w:r>
        <w:r w:rsidR="00DE53C3">
          <w:rPr>
            <w:noProof/>
            <w:webHidden/>
          </w:rPr>
          <w:tab/>
        </w:r>
        <w:r w:rsidR="00DE53C3">
          <w:rPr>
            <w:noProof/>
            <w:webHidden/>
          </w:rPr>
          <w:fldChar w:fldCharType="begin"/>
        </w:r>
        <w:r w:rsidR="00DE53C3">
          <w:rPr>
            <w:noProof/>
            <w:webHidden/>
          </w:rPr>
          <w:instrText xml:space="preserve"> PAGEREF _Toc100402968 \h </w:instrText>
        </w:r>
        <w:r w:rsidR="00DE53C3">
          <w:rPr>
            <w:noProof/>
            <w:webHidden/>
          </w:rPr>
        </w:r>
        <w:r w:rsidR="00DE53C3">
          <w:rPr>
            <w:noProof/>
            <w:webHidden/>
          </w:rPr>
          <w:fldChar w:fldCharType="separate"/>
        </w:r>
        <w:r w:rsidR="003A3DCF">
          <w:rPr>
            <w:noProof/>
            <w:webHidden/>
          </w:rPr>
          <w:t>30</w:t>
        </w:r>
        <w:r w:rsidR="00DE53C3">
          <w:rPr>
            <w:noProof/>
            <w:webHidden/>
          </w:rPr>
          <w:fldChar w:fldCharType="end"/>
        </w:r>
      </w:hyperlink>
    </w:p>
    <w:p w14:paraId="44DC0344" w14:textId="47767E26" w:rsidR="00DE5CC1" w:rsidRPr="00FA3C55" w:rsidRDefault="00DE53C3" w:rsidP="00442FCE">
      <w:pPr>
        <w:pStyle w:val="TOC1"/>
      </w:pPr>
      <w:r>
        <w:fldChar w:fldCharType="end"/>
      </w:r>
    </w:p>
    <w:p w14:paraId="64CB5B03" w14:textId="77BDBBD6" w:rsidR="00A671E6" w:rsidRPr="00DE5CC1" w:rsidRDefault="00A671E6" w:rsidP="00DE53C3">
      <w:pPr>
        <w:rPr>
          <w:b/>
          <w:bCs/>
        </w:rPr>
      </w:pPr>
      <w:r w:rsidRPr="000B427A">
        <w:rPr>
          <w:b/>
          <w:bCs/>
        </w:rPr>
        <w:t>S</w:t>
      </w:r>
      <w:r w:rsidR="007C22CB" w:rsidRPr="000B427A">
        <w:rPr>
          <w:b/>
          <w:bCs/>
        </w:rPr>
        <w:t>upporting</w:t>
      </w:r>
      <w:r w:rsidR="00224E3B" w:rsidRPr="000B427A">
        <w:rPr>
          <w:b/>
          <w:bCs/>
        </w:rPr>
        <w:t xml:space="preserve"> document</w:t>
      </w:r>
      <w:r w:rsidR="00DE5CC1">
        <w:rPr>
          <w:b/>
          <w:bCs/>
        </w:rPr>
        <w:t xml:space="preserve"> </w:t>
      </w:r>
    </w:p>
    <w:p w14:paraId="170EDE21" w14:textId="1C3D11CC" w:rsidR="007A53BF" w:rsidRPr="00FA3C55" w:rsidRDefault="007A53BF" w:rsidP="00510B7A">
      <w:pPr>
        <w:spacing w:before="120" w:after="120"/>
        <w:rPr>
          <w:szCs w:val="22"/>
        </w:rPr>
      </w:pPr>
      <w:r w:rsidRPr="00EE76E1">
        <w:rPr>
          <w:szCs w:val="22"/>
        </w:rPr>
        <w:t xml:space="preserve">The </w:t>
      </w:r>
      <w:hyperlink r:id="rId20" w:history="1">
        <w:r w:rsidRPr="00FA3C55">
          <w:rPr>
            <w:rStyle w:val="Hyperlink"/>
            <w:szCs w:val="22"/>
          </w:rPr>
          <w:t>following document</w:t>
        </w:r>
      </w:hyperlink>
      <w:r w:rsidRPr="00EE76E1">
        <w:rPr>
          <w:szCs w:val="22"/>
        </w:rPr>
        <w:t xml:space="preserve"> </w:t>
      </w:r>
      <w:r w:rsidR="009B5C12">
        <w:rPr>
          <w:szCs w:val="22"/>
        </w:rPr>
        <w:t xml:space="preserve">which </w:t>
      </w:r>
      <w:r>
        <w:rPr>
          <w:szCs w:val="22"/>
        </w:rPr>
        <w:t xml:space="preserve">informed the </w:t>
      </w:r>
      <w:r w:rsidRPr="00EE76E1">
        <w:rPr>
          <w:szCs w:val="22"/>
        </w:rPr>
        <w:t xml:space="preserve">assessment of this </w:t>
      </w:r>
      <w:r w:rsidR="00C969C9">
        <w:rPr>
          <w:szCs w:val="22"/>
        </w:rPr>
        <w:t>a</w:t>
      </w:r>
      <w:r w:rsidR="00C969C9" w:rsidRPr="00EE76E1">
        <w:rPr>
          <w:szCs w:val="22"/>
        </w:rPr>
        <w:t xml:space="preserve">pplication </w:t>
      </w:r>
      <w:r w:rsidR="009B5C12">
        <w:rPr>
          <w:szCs w:val="22"/>
        </w:rPr>
        <w:t>is</w:t>
      </w:r>
      <w:r w:rsidRPr="00EE76E1">
        <w:rPr>
          <w:szCs w:val="22"/>
        </w:rPr>
        <w:t xml:space="preserve"> available </w:t>
      </w:r>
      <w:r w:rsidRPr="0089264A">
        <w:rPr>
          <w:szCs w:val="22"/>
        </w:rPr>
        <w:t>on the FSANZ website</w:t>
      </w:r>
      <w:r w:rsidR="00FF3E26" w:rsidRPr="00FA3C55">
        <w:rPr>
          <w:szCs w:val="22"/>
        </w:rPr>
        <w:t>:</w:t>
      </w:r>
    </w:p>
    <w:p w14:paraId="4912FDD0" w14:textId="488A877D" w:rsidR="003C4969" w:rsidRPr="00CA5734" w:rsidRDefault="00EE76E1" w:rsidP="00FA3C55">
      <w:pPr>
        <w:widowControl/>
        <w:spacing w:before="120" w:after="120"/>
        <w:ind w:left="1134" w:hanging="1134"/>
      </w:pPr>
      <w:r w:rsidRPr="00FA3C55">
        <w:t>SD1</w:t>
      </w:r>
      <w:r w:rsidRPr="00FA3C55">
        <w:tab/>
        <w:t xml:space="preserve">Risk and safety </w:t>
      </w:r>
      <w:r w:rsidRPr="00D92EF0">
        <w:t>assessment</w:t>
      </w:r>
      <w:r>
        <w:t xml:space="preserve"> report</w:t>
      </w:r>
      <w:r w:rsidR="009B5C12">
        <w:t xml:space="preserve"> (at Approval)</w:t>
      </w:r>
      <w:r w:rsidR="00D15A08" w:rsidRPr="00CA5734">
        <w:br w:type="page"/>
      </w:r>
    </w:p>
    <w:p w14:paraId="789FE269" w14:textId="77777777" w:rsidR="007A53BF" w:rsidRPr="007A53BF" w:rsidRDefault="007A53BF" w:rsidP="00DE5CC1">
      <w:pPr>
        <w:pStyle w:val="Heading1"/>
      </w:pPr>
      <w:bookmarkStart w:id="1" w:name="_Toc286391001"/>
      <w:bookmarkStart w:id="2" w:name="_Toc300933414"/>
      <w:bookmarkStart w:id="3" w:name="_Toc370223463"/>
      <w:bookmarkStart w:id="4" w:name="_Toc100402940"/>
      <w:bookmarkStart w:id="5" w:name="_Toc11735627"/>
      <w:bookmarkStart w:id="6" w:name="_Toc29883110"/>
      <w:bookmarkStart w:id="7" w:name="_Toc41906797"/>
      <w:bookmarkStart w:id="8" w:name="_Toc41907544"/>
      <w:bookmarkStart w:id="9" w:name="_Toc120358575"/>
      <w:r w:rsidRPr="007A53BF">
        <w:lastRenderedPageBreak/>
        <w:t>Executive summary</w:t>
      </w:r>
      <w:bookmarkEnd w:id="1"/>
      <w:bookmarkEnd w:id="2"/>
      <w:bookmarkEnd w:id="3"/>
      <w:bookmarkEnd w:id="4"/>
    </w:p>
    <w:p w14:paraId="0A602AF5" w14:textId="32B6C0D8" w:rsidR="00E72505" w:rsidRPr="002526C2" w:rsidRDefault="00E72505" w:rsidP="00E72505">
      <w:pPr>
        <w:spacing w:before="120" w:after="120"/>
        <w:rPr>
          <w:szCs w:val="22"/>
        </w:rPr>
      </w:pPr>
      <w:r w:rsidRPr="00317404">
        <w:rPr>
          <w:szCs w:val="22"/>
        </w:rPr>
        <w:t xml:space="preserve">Food Standards Australia New Zealand (FSANZ) has assessed an application by Friesland Campina Ingredients (the </w:t>
      </w:r>
      <w:r w:rsidR="00DF6DB2" w:rsidRPr="00317404">
        <w:rPr>
          <w:szCs w:val="22"/>
        </w:rPr>
        <w:t>applicant</w:t>
      </w:r>
      <w:r w:rsidRPr="00317404">
        <w:rPr>
          <w:szCs w:val="22"/>
        </w:rPr>
        <w:t xml:space="preserve">) to amend the Australia New Zealand Food Standards Code (the Code) to permit </w:t>
      </w:r>
      <w:r w:rsidRPr="00CB083D">
        <w:rPr>
          <w:szCs w:val="22"/>
        </w:rPr>
        <w:t>the sale and use of 2</w:t>
      </w:r>
      <w:r w:rsidR="00CB3F3E" w:rsidRPr="00CB083D">
        <w:rPr>
          <w:rFonts w:cs="Arial"/>
          <w:szCs w:val="22"/>
        </w:rPr>
        <w:t>ʹ</w:t>
      </w:r>
      <w:r w:rsidRPr="00CB083D">
        <w:rPr>
          <w:szCs w:val="22"/>
        </w:rPr>
        <w:t>-fucosyllactose</w:t>
      </w:r>
      <w:r w:rsidRPr="00317404">
        <w:rPr>
          <w:szCs w:val="22"/>
          <w:vertAlign w:val="superscript"/>
        </w:rPr>
        <w:footnoteReference w:id="2"/>
      </w:r>
      <w:r w:rsidR="001D66DF" w:rsidRPr="00317404">
        <w:rPr>
          <w:szCs w:val="22"/>
        </w:rPr>
        <w:t xml:space="preserve"> </w:t>
      </w:r>
      <w:r w:rsidRPr="00317404">
        <w:rPr>
          <w:szCs w:val="22"/>
        </w:rPr>
        <w:t>(2′-FL) derived from a genetically modified </w:t>
      </w:r>
      <w:r w:rsidRPr="00CB083D">
        <w:rPr>
          <w:i/>
          <w:iCs/>
          <w:szCs w:val="22"/>
        </w:rPr>
        <w:t>Escherichia coli</w:t>
      </w:r>
      <w:r w:rsidRPr="00CB083D">
        <w:rPr>
          <w:szCs w:val="22"/>
        </w:rPr>
        <w:t> (</w:t>
      </w:r>
      <w:r w:rsidRPr="00CB083D">
        <w:rPr>
          <w:i/>
          <w:iCs/>
          <w:szCs w:val="22"/>
        </w:rPr>
        <w:t>E.coli</w:t>
      </w:r>
      <w:r w:rsidRPr="00CB083D">
        <w:rPr>
          <w:szCs w:val="22"/>
        </w:rPr>
        <w:t>) strain</w:t>
      </w:r>
      <w:r w:rsidR="00FA3261" w:rsidRPr="00CB083D">
        <w:rPr>
          <w:szCs w:val="22"/>
        </w:rPr>
        <w:t xml:space="preserve">, </w:t>
      </w:r>
      <w:r w:rsidR="00FA3261" w:rsidRPr="00CB083D">
        <w:rPr>
          <w:i/>
          <w:szCs w:val="22"/>
        </w:rPr>
        <w:t>E. coli</w:t>
      </w:r>
      <w:r w:rsidR="00FA3261" w:rsidRPr="00CB083D">
        <w:rPr>
          <w:szCs w:val="22"/>
        </w:rPr>
        <w:t xml:space="preserve"> K-12</w:t>
      </w:r>
      <w:r w:rsidRPr="00CB083D">
        <w:rPr>
          <w:szCs w:val="22"/>
        </w:rPr>
        <w:t xml:space="preserve"> as a nutritive substance in infant formula produc</w:t>
      </w:r>
      <w:r w:rsidRPr="00EA59BB">
        <w:rPr>
          <w:szCs w:val="22"/>
        </w:rPr>
        <w:t xml:space="preserve">ts (IFP) i.e. infant formula, follow-on formula and infant formula products for special dietary use. The application also requested an amendment to Schedule 3 of the Code to reference or include a specification published by the European Union </w:t>
      </w:r>
      <w:r w:rsidR="00CB3F3E" w:rsidRPr="00EA59BB">
        <w:rPr>
          <w:szCs w:val="22"/>
        </w:rPr>
        <w:t>(EU)</w:t>
      </w:r>
      <w:r w:rsidRPr="002526C2">
        <w:rPr>
          <w:szCs w:val="22"/>
        </w:rPr>
        <w:t xml:space="preserve"> for this </w:t>
      </w:r>
      <w:r w:rsidR="009B64E5" w:rsidRPr="002526C2">
        <w:rPr>
          <w:szCs w:val="22"/>
        </w:rPr>
        <w:t xml:space="preserve">source of </w:t>
      </w:r>
      <w:r w:rsidR="00A476B5" w:rsidRPr="002526C2">
        <w:rPr>
          <w:szCs w:val="22"/>
        </w:rPr>
        <w:t>2′-FL</w:t>
      </w:r>
      <w:r w:rsidRPr="002526C2">
        <w:rPr>
          <w:szCs w:val="22"/>
        </w:rPr>
        <w:t>.</w:t>
      </w:r>
    </w:p>
    <w:p w14:paraId="265CA13E" w14:textId="1AD5A2EF" w:rsidR="00E72505" w:rsidRPr="002526C2" w:rsidRDefault="00E72505" w:rsidP="00E72505">
      <w:pPr>
        <w:spacing w:before="120" w:after="120"/>
        <w:rPr>
          <w:szCs w:val="22"/>
        </w:rPr>
      </w:pPr>
      <w:r w:rsidRPr="002526C2">
        <w:rPr>
          <w:szCs w:val="22"/>
        </w:rPr>
        <w:t xml:space="preserve">The Code already permits the addition of 2′-FL as a nutritive substance to IFP. However, this permission does not apply to the 2′-FL </w:t>
      </w:r>
      <w:r w:rsidR="001933FC" w:rsidRPr="002526C2">
        <w:rPr>
          <w:szCs w:val="22"/>
        </w:rPr>
        <w:t>derived from</w:t>
      </w:r>
      <w:r w:rsidRPr="002526C2">
        <w:rPr>
          <w:szCs w:val="22"/>
        </w:rPr>
        <w:t xml:space="preserve"> </w:t>
      </w:r>
      <w:r w:rsidRPr="002526C2">
        <w:rPr>
          <w:i/>
          <w:szCs w:val="22"/>
        </w:rPr>
        <w:t>E. coli</w:t>
      </w:r>
      <w:r w:rsidRPr="002526C2">
        <w:rPr>
          <w:szCs w:val="22"/>
        </w:rPr>
        <w:t xml:space="preserve"> K-12 containing the gene for alpha-1,2-fucosyltransferase from </w:t>
      </w:r>
      <w:r w:rsidRPr="002526C2">
        <w:rPr>
          <w:i/>
          <w:szCs w:val="22"/>
        </w:rPr>
        <w:t>Bacteroides vulgatus</w:t>
      </w:r>
      <w:r w:rsidRPr="002526C2">
        <w:rPr>
          <w:szCs w:val="22"/>
        </w:rPr>
        <w:t xml:space="preserve"> which </w:t>
      </w:r>
      <w:r w:rsidR="00CB2DE3" w:rsidRPr="002526C2">
        <w:rPr>
          <w:szCs w:val="22"/>
        </w:rPr>
        <w:t xml:space="preserve">is </w:t>
      </w:r>
      <w:r w:rsidRPr="002526C2">
        <w:rPr>
          <w:szCs w:val="22"/>
        </w:rPr>
        <w:t>a different genetically modified source organism</w:t>
      </w:r>
      <w:r w:rsidR="00CB2DE3" w:rsidRPr="002526C2">
        <w:rPr>
          <w:szCs w:val="22"/>
        </w:rPr>
        <w:t xml:space="preserve"> compared to the previous permission</w:t>
      </w:r>
      <w:r w:rsidRPr="002526C2">
        <w:rPr>
          <w:szCs w:val="22"/>
        </w:rPr>
        <w:t>. The application therefore seeks to amend Schedule 26 to permit this alternative genetically modified source o</w:t>
      </w:r>
      <w:r w:rsidR="00C13E4F" w:rsidRPr="002526C2">
        <w:rPr>
          <w:szCs w:val="22"/>
        </w:rPr>
        <w:t xml:space="preserve">rganism </w:t>
      </w:r>
      <w:r w:rsidRPr="002526C2">
        <w:rPr>
          <w:szCs w:val="22"/>
        </w:rPr>
        <w:t xml:space="preserve">for the production of 2′-FL by fermentation under the brand name ‘Aequival® 2′-FL’. </w:t>
      </w:r>
    </w:p>
    <w:p w14:paraId="4AA28FC1" w14:textId="6688E92A" w:rsidR="00E72505" w:rsidRPr="002526C2" w:rsidRDefault="00E72505" w:rsidP="00E72505">
      <w:pPr>
        <w:spacing w:before="120" w:after="120"/>
        <w:rPr>
          <w:szCs w:val="22"/>
        </w:rPr>
      </w:pPr>
      <w:r w:rsidRPr="002526C2">
        <w:rPr>
          <w:szCs w:val="22"/>
        </w:rPr>
        <w:t xml:space="preserve">2′-FL derived from </w:t>
      </w:r>
      <w:r w:rsidR="00953852" w:rsidRPr="002526C2">
        <w:rPr>
          <w:szCs w:val="22"/>
        </w:rPr>
        <w:t>the production strain</w:t>
      </w:r>
      <w:r w:rsidRPr="002526C2">
        <w:rPr>
          <w:szCs w:val="22"/>
        </w:rPr>
        <w:t xml:space="preserve"> is chemically and structurally identical to 2′-FL isolated from human milk. Stability studies demonstrate that the final product is suited for food uses. The</w:t>
      </w:r>
      <w:r w:rsidR="007C6A01" w:rsidRPr="002526C2" w:rsidDel="000F77C7">
        <w:rPr>
          <w:szCs w:val="22"/>
        </w:rPr>
        <w:t xml:space="preserve"> </w:t>
      </w:r>
      <w:r w:rsidR="000F77C7" w:rsidRPr="002526C2">
        <w:rPr>
          <w:szCs w:val="22"/>
        </w:rPr>
        <w:t xml:space="preserve">application </w:t>
      </w:r>
      <w:r w:rsidRPr="002526C2">
        <w:rPr>
          <w:szCs w:val="22"/>
        </w:rPr>
        <w:t>proposed specifications based on those already in force in the EU and submitted data that demonstrates the final product is within these specifications.</w:t>
      </w:r>
      <w:r w:rsidR="007C6A01" w:rsidRPr="002526C2">
        <w:rPr>
          <w:szCs w:val="22"/>
        </w:rPr>
        <w:t xml:space="preserve"> Noting the most recent EU specifications are from 2019, FSANZ has confirmed the applicant’s product can meet these updated specifications.</w:t>
      </w:r>
    </w:p>
    <w:p w14:paraId="5971BCD9" w14:textId="58776EBE" w:rsidR="00E72505" w:rsidRPr="002526C2" w:rsidRDefault="00E72505" w:rsidP="00E72505">
      <w:pPr>
        <w:spacing w:before="120" w:after="120"/>
        <w:rPr>
          <w:szCs w:val="22"/>
        </w:rPr>
      </w:pPr>
      <w:r w:rsidRPr="002526C2">
        <w:rPr>
          <w:szCs w:val="22"/>
        </w:rPr>
        <w:t xml:space="preserve">FSANZ found no safety concerns with the </w:t>
      </w:r>
      <w:r w:rsidR="00CB2DE3" w:rsidRPr="002526C2">
        <w:rPr>
          <w:szCs w:val="22"/>
        </w:rPr>
        <w:t>production organism</w:t>
      </w:r>
      <w:r w:rsidRPr="002526C2">
        <w:rPr>
          <w:szCs w:val="22"/>
        </w:rPr>
        <w:t xml:space="preserve">. </w:t>
      </w:r>
      <w:r w:rsidRPr="002526C2">
        <w:rPr>
          <w:i/>
          <w:szCs w:val="22"/>
        </w:rPr>
        <w:t>E. coli</w:t>
      </w:r>
      <w:r w:rsidRPr="002526C2">
        <w:rPr>
          <w:szCs w:val="22"/>
        </w:rPr>
        <w:t xml:space="preserve"> K-12 has a long history of </w:t>
      </w:r>
      <w:r w:rsidR="00557BB2" w:rsidRPr="002526C2">
        <w:rPr>
          <w:szCs w:val="22"/>
        </w:rPr>
        <w:t xml:space="preserve">safe </w:t>
      </w:r>
      <w:r w:rsidRPr="002526C2">
        <w:rPr>
          <w:szCs w:val="22"/>
        </w:rPr>
        <w:t xml:space="preserve">use to produce recombinant proteins and does not pose a risk to humans. </w:t>
      </w:r>
      <w:r w:rsidR="00CB2DE3" w:rsidRPr="002526C2">
        <w:rPr>
          <w:szCs w:val="22"/>
        </w:rPr>
        <w:t xml:space="preserve"> The assessment confirmed the transferred genetic material is both stable and fully functional.</w:t>
      </w:r>
    </w:p>
    <w:p w14:paraId="7B66B396" w14:textId="77777777" w:rsidR="00E72505" w:rsidRPr="002526C2" w:rsidRDefault="00E72505" w:rsidP="00E72505">
      <w:pPr>
        <w:spacing w:before="120" w:after="120"/>
        <w:rPr>
          <w:szCs w:val="22"/>
        </w:rPr>
      </w:pPr>
      <w:r w:rsidRPr="002526C2">
        <w:rPr>
          <w:szCs w:val="22"/>
        </w:rPr>
        <w:t xml:space="preserve">FSANZ previously found no safety concerns associated with the addition of 2′-FL to IFP at concentrations within the range of naturally occurring levels in human milk. Newly available information did not change this conclusion. In addition, 2′-FL is unlikely to pose allergen concerns because the protein content of the 2′-FL product is below the limit of quantitation. </w:t>
      </w:r>
    </w:p>
    <w:p w14:paraId="7A80C2FB" w14:textId="296AEBC2" w:rsidR="00E72505" w:rsidRPr="002526C2" w:rsidRDefault="00E72505" w:rsidP="00E72505">
      <w:pPr>
        <w:spacing w:before="120" w:after="120"/>
        <w:rPr>
          <w:szCs w:val="22"/>
        </w:rPr>
      </w:pPr>
      <w:r w:rsidRPr="002526C2">
        <w:rPr>
          <w:szCs w:val="22"/>
        </w:rPr>
        <w:t>FSANZ’s previous assessments found no evidence of a nutritional concern at concentrations typically observed in human milk. No new information was provided that would indicate a need to change these conclusions.</w:t>
      </w:r>
      <w:r w:rsidR="000F77C7" w:rsidRPr="002526C2">
        <w:rPr>
          <w:szCs w:val="22"/>
        </w:rPr>
        <w:t xml:space="preserve"> </w:t>
      </w:r>
      <w:r w:rsidRPr="002526C2">
        <w:rPr>
          <w:szCs w:val="22"/>
        </w:rPr>
        <w:t>The evidence for a beneficial role of 2′-FL in the normal growth and development of infants will be reassessed in a review to be completed by March 2026.</w:t>
      </w:r>
    </w:p>
    <w:p w14:paraId="3406AF79" w14:textId="4914CE5E" w:rsidR="00317404" w:rsidRPr="002526C2" w:rsidRDefault="00317404" w:rsidP="00317404">
      <w:pPr>
        <w:pStyle w:val="CommentText"/>
        <w:rPr>
          <w:rFonts w:eastAsia="Calibri"/>
          <w:sz w:val="22"/>
          <w:szCs w:val="22"/>
        </w:rPr>
      </w:pPr>
      <w:r w:rsidRPr="002526C2">
        <w:rPr>
          <w:sz w:val="22"/>
          <w:szCs w:val="22"/>
        </w:rPr>
        <w:t>Following assessment and preparation of the draft variation, FSANZ called for submissions regarding the draft variation from 6 December 2021 to 31 January 2022. Eight submissions</w:t>
      </w:r>
      <w:r w:rsidRPr="002526C2">
        <w:rPr>
          <w:sz w:val="22"/>
          <w:szCs w:val="22"/>
          <w:lang w:val="en-AU" w:bidi="ar-SA"/>
        </w:rPr>
        <w:t xml:space="preserve"> were received, </w:t>
      </w:r>
      <w:r w:rsidRPr="002526C2">
        <w:rPr>
          <w:rFonts w:eastAsia="Calibri"/>
          <w:sz w:val="22"/>
          <w:szCs w:val="22"/>
        </w:rPr>
        <w:t>all of which FSANZ had regard to (see Section 2.1 of this report for details of submissions made).</w:t>
      </w:r>
    </w:p>
    <w:p w14:paraId="0A9EDCFC" w14:textId="77777777" w:rsidR="003A3DCF" w:rsidRPr="000C59CD" w:rsidRDefault="00317404" w:rsidP="000C59CD">
      <w:pPr>
        <w:spacing w:before="120" w:beforeAutospacing="0" w:after="120" w:afterAutospacing="0"/>
        <w:rPr>
          <w:szCs w:val="22"/>
        </w:rPr>
      </w:pPr>
      <w:r w:rsidRPr="000C59CD">
        <w:rPr>
          <w:szCs w:val="22"/>
          <w:lang w:bidi="ar-SA"/>
        </w:rPr>
        <w:t xml:space="preserve">Based on the information above and other relevant considerations set out in this report, FSANZ has decided to approve the draft variation proposed following assessment with amendments. The approved draft variation will </w:t>
      </w:r>
      <w:r w:rsidRPr="000C59CD">
        <w:rPr>
          <w:szCs w:val="22"/>
        </w:rPr>
        <w:t>permit the voluntary addition of the applicant’s 2′-FL to IFP, subject to the following Code requirements and conditions:</w:t>
      </w:r>
    </w:p>
    <w:p w14:paraId="4A19973E" w14:textId="589942A7" w:rsidR="00317404" w:rsidRPr="00317404" w:rsidRDefault="00317404" w:rsidP="00317404">
      <w:pPr>
        <w:pStyle w:val="ListParagraph"/>
        <w:numPr>
          <w:ilvl w:val="0"/>
          <w:numId w:val="31"/>
        </w:numPr>
        <w:spacing w:before="120" w:beforeAutospacing="0" w:after="120" w:afterAutospacing="0"/>
        <w:contextualSpacing w:val="0"/>
        <w:rPr>
          <w:szCs w:val="22"/>
        </w:rPr>
      </w:pPr>
      <w:r w:rsidRPr="00317404">
        <w:rPr>
          <w:szCs w:val="22"/>
        </w:rPr>
        <w:lastRenderedPageBreak/>
        <w:t>It may be added up to a maximum level of 2.4 g/L as consumed (i.e. in powder or liquid form).</w:t>
      </w:r>
    </w:p>
    <w:p w14:paraId="783B5701" w14:textId="77777777" w:rsidR="00317404" w:rsidRPr="00CB083D" w:rsidRDefault="00317404" w:rsidP="00317404">
      <w:pPr>
        <w:pStyle w:val="ListParagraph"/>
        <w:numPr>
          <w:ilvl w:val="0"/>
          <w:numId w:val="31"/>
        </w:numPr>
        <w:spacing w:before="120" w:beforeAutospacing="0" w:after="120" w:afterAutospacing="0"/>
        <w:contextualSpacing w:val="0"/>
        <w:rPr>
          <w:szCs w:val="22"/>
        </w:rPr>
      </w:pPr>
      <w:r w:rsidRPr="00CB083D">
        <w:rPr>
          <w:szCs w:val="22"/>
        </w:rPr>
        <w:t>The existing prohibition for the use of 2′-FL with galacto-oligosaccharides and inulin-type fructans will apply to IFP that contain the applicants 2′-FL.</w:t>
      </w:r>
    </w:p>
    <w:p w14:paraId="50ECDB1A" w14:textId="77777777" w:rsidR="003A3DCF" w:rsidRDefault="00317404" w:rsidP="003A3DCF">
      <w:pPr>
        <w:pStyle w:val="ListParagraph"/>
        <w:numPr>
          <w:ilvl w:val="0"/>
          <w:numId w:val="31"/>
        </w:numPr>
        <w:spacing w:before="120" w:beforeAutospacing="0" w:after="120" w:afterAutospacing="0"/>
        <w:contextualSpacing w:val="0"/>
        <w:rPr>
          <w:szCs w:val="22"/>
        </w:rPr>
      </w:pPr>
      <w:r w:rsidRPr="00EA59BB">
        <w:rPr>
          <w:szCs w:val="22"/>
        </w:rPr>
        <w:t xml:space="preserve">The existing prohibition for the use of the words ‘human milk identical oligosaccharide’ or ‘human milk oligosaccharide’, and abbreviations ‘HMO’, ‘HiMO’, or any word or words or abbreviations having the same or similar effect, will apply to IFP that contain the applicant’s 2′-FL. </w:t>
      </w:r>
    </w:p>
    <w:p w14:paraId="4C45F6FB" w14:textId="5E7BDD7D" w:rsidR="00317404" w:rsidRPr="003A3DCF" w:rsidRDefault="00317404" w:rsidP="003A3DCF">
      <w:pPr>
        <w:pStyle w:val="ListParagraph"/>
        <w:numPr>
          <w:ilvl w:val="0"/>
          <w:numId w:val="31"/>
        </w:numPr>
        <w:spacing w:before="120" w:beforeAutospacing="0" w:after="120" w:afterAutospacing="0"/>
        <w:contextualSpacing w:val="0"/>
        <w:rPr>
          <w:szCs w:val="22"/>
        </w:rPr>
      </w:pPr>
      <w:r w:rsidRPr="003A3DCF">
        <w:rPr>
          <w:szCs w:val="22"/>
        </w:rPr>
        <w:t>An exclusive permission to use the applicant’s 2′-FL will apply for a period of 15 months, linked to the applicant’s brand name ‘Aequival® 2′-FL’, commencing on the date of gazettal of the approved draft variation.</w:t>
      </w:r>
    </w:p>
    <w:p w14:paraId="3320D194" w14:textId="0AE3E8E2" w:rsidR="00317404" w:rsidRPr="002526C2" w:rsidRDefault="00317404" w:rsidP="00317404">
      <w:pPr>
        <w:pStyle w:val="ListParagraph"/>
        <w:numPr>
          <w:ilvl w:val="0"/>
          <w:numId w:val="31"/>
        </w:numPr>
        <w:spacing w:before="120" w:beforeAutospacing="0" w:after="120" w:afterAutospacing="0"/>
        <w:contextualSpacing w:val="0"/>
        <w:rPr>
          <w:szCs w:val="22"/>
        </w:rPr>
      </w:pPr>
      <w:r w:rsidRPr="002526C2">
        <w:rPr>
          <w:szCs w:val="22"/>
        </w:rPr>
        <w:t>Schedule 3 of the Code will set specification for the applicant’s 2′-FL, with which it must comply.</w:t>
      </w:r>
    </w:p>
    <w:p w14:paraId="0D14DECE" w14:textId="77777777" w:rsidR="00317404" w:rsidRPr="00CB083D" w:rsidRDefault="00317404" w:rsidP="00317404">
      <w:pPr>
        <w:pStyle w:val="ListParagraph"/>
        <w:widowControl/>
        <w:numPr>
          <w:ilvl w:val="0"/>
          <w:numId w:val="31"/>
        </w:numPr>
        <w:spacing w:before="120" w:beforeAutospacing="0" w:after="120" w:afterAutospacing="0"/>
        <w:contextualSpacing w:val="0"/>
        <w:rPr>
          <w:rFonts w:cs="Arial"/>
          <w:szCs w:val="22"/>
          <w:lang w:bidi="ar-SA"/>
        </w:rPr>
      </w:pPr>
      <w:r w:rsidRPr="002526C2">
        <w:rPr>
          <w:szCs w:val="22"/>
          <w:lang w:bidi="ar-SA"/>
        </w:rPr>
        <w:t>The permission is subject to the outcome of the five year review</w:t>
      </w:r>
      <w:r w:rsidRPr="00317404">
        <w:rPr>
          <w:rStyle w:val="FootnoteReference"/>
          <w:szCs w:val="22"/>
          <w:lang w:bidi="ar-SA"/>
        </w:rPr>
        <w:footnoteRef/>
      </w:r>
      <w:r w:rsidRPr="00317404">
        <w:rPr>
          <w:szCs w:val="22"/>
          <w:lang w:bidi="ar-SA"/>
        </w:rPr>
        <w:t xml:space="preserve"> (to be completed by March 2026) which will reassess the evidence of a substantiated </w:t>
      </w:r>
      <w:r w:rsidRPr="00317404">
        <w:rPr>
          <w:rFonts w:cs="Arial"/>
          <w:szCs w:val="22"/>
          <w:lang w:bidi="ar-SA"/>
        </w:rPr>
        <w:t xml:space="preserve">beneficial role of </w:t>
      </w:r>
      <w:r w:rsidRPr="00317404">
        <w:rPr>
          <w:rFonts w:cs="Arial"/>
          <w:szCs w:val="22"/>
        </w:rPr>
        <w:t xml:space="preserve">2′-FL </w:t>
      </w:r>
      <w:r w:rsidRPr="00CB083D">
        <w:rPr>
          <w:rFonts w:cs="Arial"/>
          <w:color w:val="222222"/>
          <w:szCs w:val="22"/>
          <w:shd w:val="clear" w:color="auto" w:fill="FFFFFF"/>
        </w:rPr>
        <w:t>in the normal growth and development of infants</w:t>
      </w:r>
      <w:r w:rsidRPr="00CB083D">
        <w:rPr>
          <w:rFonts w:cs="Arial"/>
          <w:szCs w:val="22"/>
          <w:lang w:bidi="ar-SA"/>
        </w:rPr>
        <w:t>.</w:t>
      </w:r>
    </w:p>
    <w:p w14:paraId="4079AB64" w14:textId="39BF8512" w:rsidR="00317404" w:rsidRPr="00EA59BB" w:rsidRDefault="00317404" w:rsidP="00317404">
      <w:pPr>
        <w:pStyle w:val="CommentText"/>
        <w:rPr>
          <w:sz w:val="22"/>
          <w:szCs w:val="22"/>
        </w:rPr>
      </w:pPr>
      <w:r w:rsidRPr="00CB083D">
        <w:rPr>
          <w:sz w:val="22"/>
          <w:szCs w:val="22"/>
        </w:rPr>
        <w:t xml:space="preserve">The amendments made to the </w:t>
      </w:r>
      <w:r w:rsidRPr="00F8281A">
        <w:rPr>
          <w:sz w:val="22"/>
          <w:szCs w:val="22"/>
          <w:lang w:bidi="ar-SA"/>
        </w:rPr>
        <w:t xml:space="preserve">draft variation at approval were to set a new single specification for </w:t>
      </w:r>
      <w:r w:rsidRPr="00EA59BB">
        <w:rPr>
          <w:sz w:val="22"/>
          <w:szCs w:val="22"/>
        </w:rPr>
        <w:t xml:space="preserve">2′-FL sourced from </w:t>
      </w:r>
      <w:r w:rsidRPr="002526C2">
        <w:rPr>
          <w:i/>
          <w:sz w:val="22"/>
          <w:szCs w:val="22"/>
        </w:rPr>
        <w:t>E. coli</w:t>
      </w:r>
      <w:r w:rsidRPr="002526C2">
        <w:rPr>
          <w:sz w:val="22"/>
          <w:szCs w:val="22"/>
        </w:rPr>
        <w:t xml:space="preserve"> K-12</w:t>
      </w:r>
      <w:r w:rsidRPr="002526C2" w:rsidDel="00833B48">
        <w:rPr>
          <w:sz w:val="22"/>
          <w:szCs w:val="22"/>
        </w:rPr>
        <w:t xml:space="preserve"> </w:t>
      </w:r>
      <w:r w:rsidRPr="002526C2">
        <w:rPr>
          <w:sz w:val="22"/>
          <w:szCs w:val="22"/>
        </w:rPr>
        <w:t xml:space="preserve">containing the gene for alpha-1,2-fucosyltransferase </w:t>
      </w:r>
      <w:r w:rsidRPr="00317404">
        <w:rPr>
          <w:sz w:val="22"/>
          <w:szCs w:val="22"/>
        </w:rPr>
        <w:t xml:space="preserve">from either </w:t>
      </w:r>
      <w:r w:rsidRPr="00317404">
        <w:rPr>
          <w:i/>
          <w:sz w:val="22"/>
          <w:szCs w:val="22"/>
        </w:rPr>
        <w:t xml:space="preserve">Helicobacter pylori </w:t>
      </w:r>
      <w:r w:rsidRPr="00317404">
        <w:rPr>
          <w:sz w:val="22"/>
          <w:szCs w:val="22"/>
        </w:rPr>
        <w:t xml:space="preserve">or </w:t>
      </w:r>
      <w:r w:rsidRPr="00317404">
        <w:rPr>
          <w:i/>
          <w:sz w:val="22"/>
          <w:szCs w:val="22"/>
        </w:rPr>
        <w:t xml:space="preserve">Bacteroides vulgatus. </w:t>
      </w:r>
      <w:r w:rsidRPr="00317404">
        <w:rPr>
          <w:sz w:val="22"/>
          <w:szCs w:val="22"/>
        </w:rPr>
        <w:t>The new specification</w:t>
      </w:r>
      <w:r w:rsidRPr="00CB083D">
        <w:rPr>
          <w:i/>
          <w:sz w:val="22"/>
          <w:szCs w:val="22"/>
        </w:rPr>
        <w:t xml:space="preserve"> </w:t>
      </w:r>
      <w:r w:rsidRPr="00CB083D">
        <w:rPr>
          <w:sz w:val="22"/>
          <w:szCs w:val="22"/>
        </w:rPr>
        <w:t xml:space="preserve">harmonises the existing specification for </w:t>
      </w:r>
      <w:r w:rsidRPr="00CB083D">
        <w:rPr>
          <w:i/>
          <w:sz w:val="22"/>
          <w:szCs w:val="22"/>
        </w:rPr>
        <w:t>E. coli</w:t>
      </w:r>
      <w:r w:rsidRPr="00CB083D">
        <w:rPr>
          <w:sz w:val="22"/>
          <w:szCs w:val="22"/>
        </w:rPr>
        <w:t xml:space="preserve"> K-12 from </w:t>
      </w:r>
      <w:r w:rsidRPr="00CB083D">
        <w:rPr>
          <w:i/>
          <w:sz w:val="22"/>
          <w:szCs w:val="22"/>
        </w:rPr>
        <w:t>Helicobacter pylori</w:t>
      </w:r>
      <w:r w:rsidRPr="00CB083D">
        <w:rPr>
          <w:sz w:val="22"/>
          <w:szCs w:val="22"/>
        </w:rPr>
        <w:t xml:space="preserve"> with the new specification for the applicant’s production strain</w:t>
      </w:r>
      <w:r w:rsidRPr="00F8281A">
        <w:rPr>
          <w:i/>
          <w:sz w:val="22"/>
          <w:szCs w:val="22"/>
        </w:rPr>
        <w:t xml:space="preserve">. </w:t>
      </w:r>
      <w:r w:rsidRPr="00EA59BB">
        <w:rPr>
          <w:sz w:val="22"/>
          <w:szCs w:val="22"/>
        </w:rPr>
        <w:t xml:space="preserve">It </w:t>
      </w:r>
      <w:r w:rsidR="00F332DA">
        <w:rPr>
          <w:sz w:val="22"/>
          <w:szCs w:val="22"/>
        </w:rPr>
        <w:t xml:space="preserve">is </w:t>
      </w:r>
      <w:r w:rsidRPr="00EA59BB">
        <w:rPr>
          <w:sz w:val="22"/>
          <w:szCs w:val="22"/>
        </w:rPr>
        <w:t>also</w:t>
      </w:r>
      <w:r w:rsidRPr="00EA59BB">
        <w:rPr>
          <w:i/>
          <w:sz w:val="22"/>
          <w:szCs w:val="22"/>
        </w:rPr>
        <w:t xml:space="preserve"> </w:t>
      </w:r>
      <w:r w:rsidR="00F332DA">
        <w:rPr>
          <w:sz w:val="22"/>
          <w:szCs w:val="22"/>
        </w:rPr>
        <w:t>consistent</w:t>
      </w:r>
      <w:r w:rsidRPr="00EA59BB">
        <w:rPr>
          <w:sz w:val="22"/>
          <w:szCs w:val="22"/>
        </w:rPr>
        <w:t xml:space="preserve"> with the relevant EU specification. FSANZ considers the new single specification provide</w:t>
      </w:r>
      <w:r w:rsidR="00F332DA">
        <w:rPr>
          <w:sz w:val="22"/>
          <w:szCs w:val="22"/>
        </w:rPr>
        <w:t>s</w:t>
      </w:r>
      <w:r w:rsidRPr="00EA59BB">
        <w:rPr>
          <w:sz w:val="22"/>
          <w:szCs w:val="22"/>
        </w:rPr>
        <w:t xml:space="preserve"> greater clarity in the Code.</w:t>
      </w:r>
    </w:p>
    <w:p w14:paraId="143F9864" w14:textId="7E7D543D" w:rsidR="00C836FF" w:rsidRDefault="00C836FF" w:rsidP="002526C2">
      <w:pPr>
        <w:pStyle w:val="ListParagraph"/>
        <w:spacing w:before="120" w:after="120"/>
      </w:pPr>
      <w:r>
        <w:br w:type="page"/>
      </w:r>
    </w:p>
    <w:p w14:paraId="66C5FAE9" w14:textId="77777777" w:rsidR="007A53BF" w:rsidRPr="00DE5CC1" w:rsidRDefault="007A53BF" w:rsidP="00DE5CC1">
      <w:pPr>
        <w:pStyle w:val="Heading1"/>
      </w:pPr>
      <w:bookmarkStart w:id="10" w:name="_Toc300933417"/>
      <w:bookmarkStart w:id="11" w:name="_Toc370223464"/>
      <w:bookmarkStart w:id="12" w:name="_Toc100402941"/>
      <w:r w:rsidRPr="00DE5CC1">
        <w:lastRenderedPageBreak/>
        <w:t>1</w:t>
      </w:r>
      <w:r w:rsidRPr="00DE5CC1">
        <w:tab/>
        <w:t>Introduction</w:t>
      </w:r>
      <w:bookmarkEnd w:id="10"/>
      <w:bookmarkEnd w:id="11"/>
      <w:bookmarkEnd w:id="12"/>
    </w:p>
    <w:p w14:paraId="54379A87" w14:textId="344A18C2" w:rsidR="007A53BF" w:rsidRPr="00DE5CC1" w:rsidRDefault="007A53BF" w:rsidP="00DE5CC1">
      <w:pPr>
        <w:pStyle w:val="Heading2"/>
      </w:pPr>
      <w:bookmarkStart w:id="13" w:name="_Toc300761890"/>
      <w:bookmarkStart w:id="14" w:name="_Toc300933419"/>
      <w:bookmarkStart w:id="15" w:name="_Toc370223465"/>
      <w:bookmarkStart w:id="16" w:name="_Toc100402942"/>
      <w:r w:rsidRPr="00DE5CC1">
        <w:t>1.1</w:t>
      </w:r>
      <w:r w:rsidRPr="00DE5CC1">
        <w:tab/>
        <w:t xml:space="preserve">The </w:t>
      </w:r>
      <w:bookmarkEnd w:id="13"/>
      <w:bookmarkEnd w:id="14"/>
      <w:bookmarkEnd w:id="15"/>
      <w:r w:rsidR="00524FAA">
        <w:t>applicant</w:t>
      </w:r>
      <w:bookmarkEnd w:id="16"/>
    </w:p>
    <w:p w14:paraId="4416B04A" w14:textId="7A765DF4" w:rsidR="00E72505" w:rsidRPr="00E72505" w:rsidRDefault="00E72505" w:rsidP="00E72505">
      <w:pPr>
        <w:rPr>
          <w:lang w:bidi="ar-SA"/>
        </w:rPr>
      </w:pPr>
      <w:bookmarkStart w:id="17" w:name="_Toc300761891"/>
      <w:bookmarkStart w:id="18" w:name="_Toc300933420"/>
      <w:bookmarkStart w:id="19" w:name="_Toc370223466"/>
      <w:r w:rsidRPr="00E72505">
        <w:rPr>
          <w:lang w:bidi="ar-SA"/>
        </w:rPr>
        <w:t xml:space="preserve">Friesland Campina </w:t>
      </w:r>
      <w:r w:rsidR="00CD1F89">
        <w:rPr>
          <w:lang w:bidi="ar-SA"/>
        </w:rPr>
        <w:t xml:space="preserve">Ingredients </w:t>
      </w:r>
      <w:r w:rsidRPr="00E72505">
        <w:rPr>
          <w:lang w:bidi="ar-SA"/>
        </w:rPr>
        <w:t>supplies consumer products, products for the professional market</w:t>
      </w:r>
      <w:r w:rsidR="00242F69">
        <w:rPr>
          <w:lang w:bidi="ar-SA"/>
        </w:rPr>
        <w:t xml:space="preserve"> and</w:t>
      </w:r>
      <w:r w:rsidRPr="00E72505">
        <w:rPr>
          <w:lang w:bidi="ar-SA"/>
        </w:rPr>
        <w:t xml:space="preserve"> ingredients and semi-finished products for manufacturers of infant nutrition, the food industry and the pharmaceutical sector. </w:t>
      </w:r>
    </w:p>
    <w:p w14:paraId="74F19653" w14:textId="6FA9B4E1" w:rsidR="007A53BF" w:rsidRPr="00DE5CC1" w:rsidRDefault="007A53BF" w:rsidP="00DE5CC1">
      <w:pPr>
        <w:pStyle w:val="Heading2"/>
      </w:pPr>
      <w:bookmarkStart w:id="20" w:name="_Toc100402943"/>
      <w:r w:rsidRPr="00DE5CC1">
        <w:t>1.2</w:t>
      </w:r>
      <w:r w:rsidRPr="00DE5CC1">
        <w:tab/>
      </w:r>
      <w:r w:rsidR="005F1E79">
        <w:t xml:space="preserve">The </w:t>
      </w:r>
      <w:bookmarkEnd w:id="17"/>
      <w:bookmarkEnd w:id="18"/>
      <w:bookmarkEnd w:id="19"/>
      <w:r w:rsidR="00524FAA">
        <w:t>application</w:t>
      </w:r>
      <w:bookmarkEnd w:id="20"/>
    </w:p>
    <w:p w14:paraId="0A5694B2" w14:textId="6E635922" w:rsidR="008E6D6B" w:rsidRDefault="00DD4C88" w:rsidP="00DD4C88">
      <w:pPr>
        <w:rPr>
          <w:lang w:bidi="ar-SA"/>
        </w:rPr>
      </w:pPr>
      <w:bookmarkStart w:id="21" w:name="_Toc300761892"/>
      <w:bookmarkStart w:id="22" w:name="_Toc300933421"/>
      <w:bookmarkStart w:id="23" w:name="_Toc370223467"/>
      <w:r w:rsidRPr="00DD4C88">
        <w:rPr>
          <w:lang w:bidi="ar-SA"/>
        </w:rPr>
        <w:t xml:space="preserve">The application </w:t>
      </w:r>
      <w:r w:rsidR="00CD1F89">
        <w:rPr>
          <w:lang w:bidi="ar-SA"/>
        </w:rPr>
        <w:t>sought</w:t>
      </w:r>
      <w:r w:rsidR="000C59CD">
        <w:rPr>
          <w:lang w:bidi="ar-SA"/>
        </w:rPr>
        <w:t xml:space="preserve"> to</w:t>
      </w:r>
      <w:r w:rsidR="008E6D6B">
        <w:rPr>
          <w:lang w:bidi="ar-SA"/>
        </w:rPr>
        <w:t>:</w:t>
      </w:r>
    </w:p>
    <w:p w14:paraId="46E6870F" w14:textId="7CDBE519" w:rsidR="008E6D6B" w:rsidRDefault="00DD4C88" w:rsidP="00873003">
      <w:pPr>
        <w:pStyle w:val="FSBullet1"/>
      </w:pPr>
      <w:r w:rsidRPr="00DD4C88">
        <w:t xml:space="preserve">amend Schedule 26 of the </w:t>
      </w:r>
      <w:r w:rsidR="008E6D6B">
        <w:t xml:space="preserve">Australia New Zealand Food Standards </w:t>
      </w:r>
      <w:r w:rsidRPr="00DD4C88">
        <w:t xml:space="preserve">Code </w:t>
      </w:r>
      <w:r w:rsidR="008E6D6B">
        <w:t xml:space="preserve">(the Code) </w:t>
      </w:r>
      <w:r w:rsidRPr="00DD4C88">
        <w:t xml:space="preserve">to </w:t>
      </w:r>
      <w:r w:rsidR="00A00CE5">
        <w:t>permit</w:t>
      </w:r>
      <w:r w:rsidRPr="00DD4C88">
        <w:t xml:space="preserve"> the sale and use of 2′-FL from </w:t>
      </w:r>
      <w:r w:rsidRPr="008E6D6B">
        <w:rPr>
          <w:i/>
          <w:iCs/>
        </w:rPr>
        <w:t>E. coli</w:t>
      </w:r>
      <w:r w:rsidRPr="00DD4C88">
        <w:t xml:space="preserve"> K-12 strain E997 containing the gene alpha-1,2-fucosyltransferase from </w:t>
      </w:r>
      <w:r w:rsidRPr="008E6D6B">
        <w:rPr>
          <w:i/>
          <w:iCs/>
        </w:rPr>
        <w:t>Bacteroides vulgatus</w:t>
      </w:r>
      <w:r w:rsidR="009C2559">
        <w:rPr>
          <w:i/>
          <w:iCs/>
        </w:rPr>
        <w:t xml:space="preserve"> </w:t>
      </w:r>
      <w:r w:rsidRPr="008E6D6B">
        <w:rPr>
          <w:iCs/>
        </w:rPr>
        <w:t xml:space="preserve">as a nutritive substance in </w:t>
      </w:r>
      <w:r w:rsidR="00CD1F89" w:rsidRPr="00830414">
        <w:rPr>
          <w:szCs w:val="22"/>
        </w:rPr>
        <w:t>infant formula</w:t>
      </w:r>
      <w:r w:rsidR="00CD1F89">
        <w:rPr>
          <w:szCs w:val="22"/>
        </w:rPr>
        <w:t xml:space="preserve"> products (IFP)</w:t>
      </w:r>
      <w:r w:rsidR="00CD1F89">
        <w:rPr>
          <w:rStyle w:val="FootnoteReference"/>
          <w:szCs w:val="22"/>
        </w:rPr>
        <w:footnoteReference w:id="3"/>
      </w:r>
      <w:r w:rsidR="008E6D6B">
        <w:rPr>
          <w:iCs/>
        </w:rPr>
        <w:t>,</w:t>
      </w:r>
      <w:r w:rsidRPr="00DD4C88">
        <w:t xml:space="preserve"> and </w:t>
      </w:r>
    </w:p>
    <w:p w14:paraId="2AF12D6E" w14:textId="6AB956B0" w:rsidR="00DD4C88" w:rsidRPr="00DD4C88" w:rsidRDefault="00DD4C88" w:rsidP="00873003">
      <w:pPr>
        <w:pStyle w:val="FSBullet1"/>
      </w:pPr>
      <w:r w:rsidRPr="00DD4C88">
        <w:t xml:space="preserve">amend Schedule 3 of the Code to reference or include </w:t>
      </w:r>
      <w:r w:rsidR="00CD1F89">
        <w:t>the</w:t>
      </w:r>
      <w:r w:rsidR="00CD1F89" w:rsidRPr="00DD4C88">
        <w:t xml:space="preserve"> </w:t>
      </w:r>
      <w:r w:rsidRPr="00DD4C88">
        <w:t xml:space="preserve">specification </w:t>
      </w:r>
      <w:r w:rsidR="00CD1F89" w:rsidRPr="00896BCF">
        <w:t xml:space="preserve">for 2′-FL from </w:t>
      </w:r>
      <w:r w:rsidR="00CD1F89" w:rsidRPr="00896BCF">
        <w:rPr>
          <w:i/>
          <w:iCs/>
        </w:rPr>
        <w:t>E. coli</w:t>
      </w:r>
      <w:r w:rsidR="00CD1F89" w:rsidRPr="00896BCF">
        <w:t xml:space="preserve"> K-12 </w:t>
      </w:r>
      <w:r w:rsidRPr="00DD4C88">
        <w:t>published by the European Union (EU)</w:t>
      </w:r>
      <w:r w:rsidR="008E6D6B">
        <w:t xml:space="preserve">, </w:t>
      </w:r>
      <w:r w:rsidRPr="00DD4C88">
        <w:t>set out in the first column of the table in the annex to the Commission Implementing Regulation (EU) 2019/388</w:t>
      </w:r>
      <w:r w:rsidRPr="00DD4C88">
        <w:rPr>
          <w:vertAlign w:val="superscript"/>
        </w:rPr>
        <w:footnoteReference w:id="4"/>
      </w:r>
      <w:r w:rsidRPr="00DD4C88">
        <w:t>.</w:t>
      </w:r>
    </w:p>
    <w:p w14:paraId="0168B027" w14:textId="5D82ABED" w:rsidR="00DD4C88" w:rsidRPr="00CB083D" w:rsidRDefault="00157A43" w:rsidP="00CB083D">
      <w:pPr>
        <w:pStyle w:val="CommentText"/>
        <w:rPr>
          <w:sz w:val="22"/>
          <w:szCs w:val="22"/>
        </w:rPr>
      </w:pPr>
      <w:r w:rsidRPr="00CB083D">
        <w:rPr>
          <w:sz w:val="22"/>
          <w:szCs w:val="22"/>
        </w:rPr>
        <w:t xml:space="preserve">Schedule 26 of </w:t>
      </w:r>
      <w:r w:rsidR="008E6D6B" w:rsidRPr="00CB083D">
        <w:rPr>
          <w:sz w:val="22"/>
          <w:szCs w:val="22"/>
        </w:rPr>
        <w:t xml:space="preserve">the Code </w:t>
      </w:r>
      <w:r w:rsidR="00DD4C88" w:rsidRPr="00CB083D">
        <w:rPr>
          <w:sz w:val="22"/>
          <w:szCs w:val="22"/>
        </w:rPr>
        <w:t>already contains a permission for the addition of 2′-FL as a nutritive substance to IFP. However, Schedule 26 does not currently list the</w:t>
      </w:r>
      <w:r w:rsidR="00CB083D" w:rsidRPr="00CB083D">
        <w:rPr>
          <w:sz w:val="22"/>
          <w:szCs w:val="22"/>
        </w:rPr>
        <w:t xml:space="preserve"> </w:t>
      </w:r>
      <w:r w:rsidR="00CB083D">
        <w:rPr>
          <w:sz w:val="22"/>
          <w:szCs w:val="22"/>
        </w:rPr>
        <w:t>a</w:t>
      </w:r>
      <w:r w:rsidR="00CB083D" w:rsidRPr="00CB083D">
        <w:rPr>
          <w:sz w:val="22"/>
          <w:szCs w:val="22"/>
        </w:rPr>
        <w:t>pplicant’s genetically modified organism (</w:t>
      </w:r>
      <w:r w:rsidR="00CB083D" w:rsidRPr="00CB083D">
        <w:rPr>
          <w:i/>
          <w:sz w:val="22"/>
          <w:szCs w:val="22"/>
        </w:rPr>
        <w:t>E. coli</w:t>
      </w:r>
      <w:r w:rsidR="00CB083D" w:rsidRPr="00CB083D">
        <w:rPr>
          <w:sz w:val="22"/>
          <w:szCs w:val="22"/>
        </w:rPr>
        <w:t xml:space="preserve"> K-12 strain containing the gene alpha-1,2-fucosyltransferase from </w:t>
      </w:r>
      <w:r w:rsidR="00CB083D" w:rsidRPr="00CB083D">
        <w:rPr>
          <w:i/>
          <w:sz w:val="22"/>
          <w:szCs w:val="22"/>
        </w:rPr>
        <w:t>Bacteroides vulgatus</w:t>
      </w:r>
      <w:r w:rsidR="00CB083D" w:rsidRPr="00CB083D">
        <w:rPr>
          <w:sz w:val="22"/>
          <w:szCs w:val="22"/>
        </w:rPr>
        <w:t xml:space="preserve">) </w:t>
      </w:r>
      <w:r w:rsidR="00DD4C88" w:rsidRPr="00CB083D">
        <w:rPr>
          <w:sz w:val="22"/>
          <w:szCs w:val="22"/>
        </w:rPr>
        <w:t>as a permitted source organism for the production of 2′-FL by fermentation.</w:t>
      </w:r>
    </w:p>
    <w:p w14:paraId="52B25BCE" w14:textId="75DD4246" w:rsidR="007A53BF" w:rsidRPr="00DE5CC1" w:rsidRDefault="007A53BF" w:rsidP="00DE5CC1">
      <w:pPr>
        <w:pStyle w:val="Heading2"/>
      </w:pPr>
      <w:bookmarkStart w:id="24" w:name="_Toc100402944"/>
      <w:r w:rsidRPr="00DE5CC1">
        <w:t>1.3</w:t>
      </w:r>
      <w:r w:rsidRPr="00DE5CC1">
        <w:tab/>
        <w:t>The current</w:t>
      </w:r>
      <w:r w:rsidR="00C67B14">
        <w:t xml:space="preserve"> </w:t>
      </w:r>
      <w:r w:rsidRPr="00DE5CC1">
        <w:t>Standard</w:t>
      </w:r>
      <w:bookmarkEnd w:id="21"/>
      <w:bookmarkEnd w:id="22"/>
      <w:bookmarkEnd w:id="23"/>
      <w:r w:rsidR="00C67B14">
        <w:t>s</w:t>
      </w:r>
      <w:bookmarkEnd w:id="24"/>
    </w:p>
    <w:p w14:paraId="52D176F5" w14:textId="6354B715" w:rsidR="009856D5" w:rsidRPr="00DE5CC1" w:rsidRDefault="009856D5" w:rsidP="00DE5CC1">
      <w:pPr>
        <w:pStyle w:val="Heading3"/>
      </w:pPr>
      <w:bookmarkStart w:id="25" w:name="_Toc467500931"/>
      <w:bookmarkStart w:id="26" w:name="_Toc525729983"/>
      <w:bookmarkStart w:id="27" w:name="_Toc527018228"/>
      <w:bookmarkStart w:id="28" w:name="_Toc11247894"/>
      <w:bookmarkStart w:id="29" w:name="_Toc14427188"/>
      <w:bookmarkStart w:id="30" w:name="_Toc22303658"/>
      <w:bookmarkStart w:id="31" w:name="_Toc22650321"/>
      <w:bookmarkStart w:id="32" w:name="_Toc73104819"/>
      <w:bookmarkStart w:id="33" w:name="_Toc77338766"/>
      <w:bookmarkStart w:id="34" w:name="_Toc286391007"/>
      <w:bookmarkStart w:id="35" w:name="_Toc300933423"/>
      <w:bookmarkStart w:id="36" w:name="_Toc370223468"/>
      <w:bookmarkStart w:id="37" w:name="_Toc175381432"/>
      <w:r w:rsidRPr="00DE5CC1">
        <w:t>1.3.1</w:t>
      </w:r>
      <w:r w:rsidRPr="00DE5CC1">
        <w:tab/>
        <w:t>Australia and New Zealand</w:t>
      </w:r>
      <w:bookmarkEnd w:id="25"/>
      <w:bookmarkEnd w:id="26"/>
      <w:bookmarkEnd w:id="27"/>
      <w:bookmarkEnd w:id="28"/>
      <w:bookmarkEnd w:id="29"/>
      <w:bookmarkEnd w:id="30"/>
      <w:bookmarkEnd w:id="31"/>
      <w:bookmarkEnd w:id="32"/>
      <w:bookmarkEnd w:id="33"/>
    </w:p>
    <w:p w14:paraId="6096AF68" w14:textId="116F0E92" w:rsidR="00700B2F" w:rsidRPr="00C67B14" w:rsidRDefault="00700B2F" w:rsidP="00700B2F">
      <w:pPr>
        <w:widowControl/>
      </w:pPr>
      <w:r w:rsidRPr="00D57B27">
        <w:rPr>
          <w:rFonts w:cs="Arial"/>
          <w:color w:val="000000"/>
          <w:szCs w:val="22"/>
          <w:lang w:eastAsia="en-GB" w:bidi="ar-SA"/>
        </w:rPr>
        <w:t xml:space="preserve">Australian and New Zealand food laws require food for sale to comply with </w:t>
      </w:r>
      <w:r w:rsidRPr="008E4FA9">
        <w:rPr>
          <w:rFonts w:cs="Arial"/>
          <w:color w:val="000000"/>
          <w:szCs w:val="22"/>
          <w:lang w:eastAsia="en-GB" w:bidi="ar-SA"/>
        </w:rPr>
        <w:t xml:space="preserve">relevant requirements </w:t>
      </w:r>
      <w:r w:rsidRPr="00C67B14">
        <w:rPr>
          <w:rFonts w:cs="Arial"/>
          <w:szCs w:val="22"/>
          <w:lang w:eastAsia="en-GB" w:bidi="ar-SA"/>
        </w:rPr>
        <w:t>in the Code. The requirements in the Code relevant to this application are summarised below.</w:t>
      </w:r>
    </w:p>
    <w:p w14:paraId="0DD7127D" w14:textId="77777777" w:rsidR="009856D5" w:rsidRPr="00C67B14" w:rsidRDefault="009856D5" w:rsidP="00DE5CC1">
      <w:pPr>
        <w:pStyle w:val="Heading4"/>
      </w:pPr>
      <w:r w:rsidRPr="00C67B14">
        <w:t>1.3.1.1</w:t>
      </w:r>
      <w:r w:rsidRPr="00C67B14">
        <w:tab/>
        <w:t>Permitted use</w:t>
      </w:r>
    </w:p>
    <w:p w14:paraId="6E33A9E7" w14:textId="77777777" w:rsidR="00DD4C88" w:rsidRPr="00DD4C88" w:rsidRDefault="00DD4C88" w:rsidP="00DD4C88">
      <w:pPr>
        <w:widowControl/>
      </w:pPr>
      <w:r w:rsidRPr="00DD4C88">
        <w:t xml:space="preserve">Paragraphs 1.1.1—10(5)(c) and (6)(g) of Standard 1.1.1 require that, unless expressly permitted, a food for sale must not be a </w:t>
      </w:r>
      <w:r w:rsidRPr="00DD4C88">
        <w:rPr>
          <w:i/>
        </w:rPr>
        <w:t>food produced using gene technology</w:t>
      </w:r>
      <w:r w:rsidRPr="00DD4C88">
        <w:t xml:space="preserve">, or have as an ingredient or component a </w:t>
      </w:r>
      <w:r w:rsidRPr="00DD4C88">
        <w:rPr>
          <w:i/>
        </w:rPr>
        <w:t>food produced using gene technology</w:t>
      </w:r>
      <w:r w:rsidRPr="00DD4C88">
        <w:t xml:space="preserve">. </w:t>
      </w:r>
    </w:p>
    <w:p w14:paraId="4F09FEEC" w14:textId="642C01A8" w:rsidR="00DD4C88" w:rsidRPr="00DD4C88" w:rsidRDefault="00DD4C88" w:rsidP="00DD4C88">
      <w:pPr>
        <w:widowControl/>
      </w:pPr>
      <w:r w:rsidRPr="00DD4C88">
        <w:t xml:space="preserve">2′-FL </w:t>
      </w:r>
      <w:r w:rsidR="00157A43">
        <w:t xml:space="preserve">produced </w:t>
      </w:r>
      <w:r w:rsidR="00157A43" w:rsidRPr="000C48F8">
        <w:t xml:space="preserve">using E. coli K-12 containing the gene for alpha-1,2-fucosyltransferase from </w:t>
      </w:r>
      <w:r w:rsidR="00157A43" w:rsidRPr="00C30917">
        <w:rPr>
          <w:i/>
        </w:rPr>
        <w:t>Bacteroides vulgatus</w:t>
      </w:r>
      <w:r w:rsidRPr="00DD4C88">
        <w:t xml:space="preserve"> is </w:t>
      </w:r>
      <w:r w:rsidRPr="00DD4C88">
        <w:rPr>
          <w:i/>
        </w:rPr>
        <w:t>food produced using gene technology</w:t>
      </w:r>
      <w:r w:rsidRPr="00DD4C88">
        <w:t xml:space="preserve"> (section 1.1.2—2) as it is derived from an organism modified using gene technology (i.e. derived from genetically modified (GM) </w:t>
      </w:r>
      <w:r w:rsidRPr="00DD4C88">
        <w:rPr>
          <w:i/>
        </w:rPr>
        <w:t>E.coli</w:t>
      </w:r>
      <w:r w:rsidRPr="00DD4C88">
        <w:t xml:space="preserve"> strains). </w:t>
      </w:r>
      <w:r w:rsidRPr="00DD4C88" w:rsidDel="00835E0C">
        <w:t xml:space="preserve">If approved, express permission for </w:t>
      </w:r>
      <w:r w:rsidRPr="00DD4C88">
        <w:t xml:space="preserve">the 2′-FL </w:t>
      </w:r>
      <w:r w:rsidR="001933FC">
        <w:t>derived from</w:t>
      </w:r>
      <w:r w:rsidRPr="00DD4C88">
        <w:t xml:space="preserve"> </w:t>
      </w:r>
      <w:r w:rsidR="00157A43">
        <w:t xml:space="preserve">this </w:t>
      </w:r>
      <w:r w:rsidR="009C2559">
        <w:lastRenderedPageBreak/>
        <w:t>production strain</w:t>
      </w:r>
      <w:r w:rsidRPr="00DD4C88">
        <w:t xml:space="preserve"> is</w:t>
      </w:r>
      <w:r w:rsidRPr="00DD4C88" w:rsidDel="00835E0C">
        <w:t xml:space="preserve"> required in accordance with Standard 1.5.2 </w:t>
      </w:r>
      <w:r w:rsidRPr="00DD4C88">
        <w:t>(i.e. if it is listed in Schedule 26 and complies with any corresponding conditions).</w:t>
      </w:r>
    </w:p>
    <w:p w14:paraId="4D859540" w14:textId="66C9F6F8" w:rsidR="00DD4C88" w:rsidRPr="00CB083D" w:rsidRDefault="00DD4C88" w:rsidP="00CB083D">
      <w:pPr>
        <w:pStyle w:val="CommentText"/>
        <w:rPr>
          <w:sz w:val="22"/>
          <w:szCs w:val="22"/>
        </w:rPr>
      </w:pPr>
      <w:r w:rsidRPr="00CB083D">
        <w:rPr>
          <w:sz w:val="22"/>
          <w:szCs w:val="22"/>
        </w:rPr>
        <w:t xml:space="preserve">In addition, paragraph 1.1.1—10(6)(b) of Standard 1.1.1 requires that, unless expressly permitted, a food for sale must not have as an ingredient or component a substance that was </w:t>
      </w:r>
      <w:r w:rsidRPr="00CB083D">
        <w:rPr>
          <w:i/>
          <w:sz w:val="22"/>
          <w:szCs w:val="22"/>
        </w:rPr>
        <w:t xml:space="preserve">used as a nutritive substance </w:t>
      </w:r>
      <w:r w:rsidRPr="00CB083D">
        <w:rPr>
          <w:sz w:val="22"/>
          <w:szCs w:val="22"/>
        </w:rPr>
        <w:t xml:space="preserve">(section 1.1.2—12). 2′-FL </w:t>
      </w:r>
      <w:r w:rsidR="00CB083D" w:rsidRPr="00CB083D">
        <w:rPr>
          <w:sz w:val="22"/>
          <w:szCs w:val="22"/>
        </w:rPr>
        <w:t xml:space="preserve">produced using </w:t>
      </w:r>
      <w:r w:rsidR="00CB083D" w:rsidRPr="00CB083D">
        <w:rPr>
          <w:i/>
          <w:sz w:val="22"/>
          <w:szCs w:val="22"/>
        </w:rPr>
        <w:t>E. coli</w:t>
      </w:r>
      <w:r w:rsidR="00CB083D" w:rsidRPr="00CB083D">
        <w:rPr>
          <w:sz w:val="22"/>
          <w:szCs w:val="22"/>
        </w:rPr>
        <w:t xml:space="preserve"> K-12 containing the gene for alpha-1,2-fucosyltransferase from </w:t>
      </w:r>
      <w:r w:rsidR="00CB083D" w:rsidRPr="00CB083D">
        <w:rPr>
          <w:i/>
          <w:sz w:val="22"/>
          <w:szCs w:val="22"/>
        </w:rPr>
        <w:t>Bacteroides vulgatus</w:t>
      </w:r>
      <w:r w:rsidR="00CB083D" w:rsidRPr="00CB083D">
        <w:rPr>
          <w:sz w:val="22"/>
          <w:szCs w:val="22"/>
        </w:rPr>
        <w:t xml:space="preserve"> is</w:t>
      </w:r>
      <w:r w:rsidRPr="00CB083D">
        <w:rPr>
          <w:sz w:val="22"/>
          <w:szCs w:val="22"/>
        </w:rPr>
        <w:t xml:space="preserve"> used as a nutritive substance because its addition to food is intended to achieve specific nutritional purposes. </w:t>
      </w:r>
      <w:r w:rsidRPr="00CB083D" w:rsidDel="00835E0C">
        <w:rPr>
          <w:sz w:val="22"/>
          <w:szCs w:val="22"/>
        </w:rPr>
        <w:t>2</w:t>
      </w:r>
      <w:r w:rsidRPr="00CB083D">
        <w:rPr>
          <w:sz w:val="22"/>
          <w:szCs w:val="22"/>
        </w:rPr>
        <w:t>′</w:t>
      </w:r>
      <w:r w:rsidRPr="00CB083D" w:rsidDel="00835E0C">
        <w:rPr>
          <w:sz w:val="22"/>
          <w:szCs w:val="22"/>
        </w:rPr>
        <w:t xml:space="preserve">-FL </w:t>
      </w:r>
      <w:r w:rsidRPr="00CB083D">
        <w:rPr>
          <w:sz w:val="22"/>
          <w:szCs w:val="22"/>
        </w:rPr>
        <w:t xml:space="preserve">is permitted to be </w:t>
      </w:r>
      <w:r w:rsidRPr="00CB083D">
        <w:rPr>
          <w:i/>
          <w:sz w:val="22"/>
          <w:szCs w:val="22"/>
        </w:rPr>
        <w:t xml:space="preserve">used as a nutritive substance </w:t>
      </w:r>
      <w:r w:rsidRPr="00CB083D">
        <w:rPr>
          <w:sz w:val="22"/>
          <w:szCs w:val="22"/>
        </w:rPr>
        <w:t xml:space="preserve">in accordance with Standard 2.9.1 (i.e. </w:t>
      </w:r>
      <w:r w:rsidR="007966D7" w:rsidRPr="00CB083D">
        <w:rPr>
          <w:sz w:val="22"/>
          <w:szCs w:val="22"/>
        </w:rPr>
        <w:t>be</w:t>
      </w:r>
      <w:r w:rsidRPr="00CB083D">
        <w:rPr>
          <w:sz w:val="22"/>
          <w:szCs w:val="22"/>
        </w:rPr>
        <w:t xml:space="preserve"> listed in the table to section S29—5; and </w:t>
      </w:r>
      <w:r w:rsidR="007966D7" w:rsidRPr="00CB083D">
        <w:rPr>
          <w:sz w:val="22"/>
          <w:szCs w:val="22"/>
        </w:rPr>
        <w:t>be</w:t>
      </w:r>
      <w:r w:rsidRPr="00CB083D">
        <w:rPr>
          <w:sz w:val="22"/>
          <w:szCs w:val="22"/>
        </w:rPr>
        <w:t xml:space="preserve"> in a permitted form at up to the maximum amount per 100 kJ specified in that table). Section S29—5 permits the use of </w:t>
      </w:r>
      <w:r w:rsidRPr="00CB083D" w:rsidDel="00835E0C">
        <w:rPr>
          <w:sz w:val="22"/>
          <w:szCs w:val="22"/>
        </w:rPr>
        <w:t>2</w:t>
      </w:r>
      <w:r w:rsidRPr="00CB083D">
        <w:rPr>
          <w:sz w:val="22"/>
          <w:szCs w:val="22"/>
        </w:rPr>
        <w:t>′</w:t>
      </w:r>
      <w:r w:rsidRPr="00CB083D" w:rsidDel="00835E0C">
        <w:rPr>
          <w:sz w:val="22"/>
          <w:szCs w:val="22"/>
        </w:rPr>
        <w:t>-FL</w:t>
      </w:r>
      <w:r w:rsidRPr="00CB083D">
        <w:rPr>
          <w:sz w:val="22"/>
          <w:szCs w:val="22"/>
        </w:rPr>
        <w:t xml:space="preserve"> as a nutritive substance in accordance with Standard 1.5.2 (i.e. if it is listed in the table to section S26—3; and complies with any corresponding conditions listed in that Schedule).</w:t>
      </w:r>
    </w:p>
    <w:p w14:paraId="7C071C67" w14:textId="77777777" w:rsidR="009856D5" w:rsidRPr="00DE5CC1" w:rsidRDefault="009856D5" w:rsidP="00DE5CC1">
      <w:pPr>
        <w:pStyle w:val="Heading4"/>
      </w:pPr>
      <w:r w:rsidRPr="00DE5CC1">
        <w:t>1.3.1.2</w:t>
      </w:r>
      <w:r w:rsidRPr="00DE5CC1">
        <w:tab/>
        <w:t>Identity and purity</w:t>
      </w:r>
    </w:p>
    <w:p w14:paraId="0336D09C" w14:textId="442630D4" w:rsidR="00DD4C88" w:rsidRPr="00CB083D" w:rsidRDefault="00DD4C88" w:rsidP="00CB083D">
      <w:pPr>
        <w:pStyle w:val="CommentText"/>
        <w:rPr>
          <w:sz w:val="22"/>
          <w:szCs w:val="22"/>
        </w:rPr>
      </w:pPr>
      <w:r w:rsidRPr="00CB083D">
        <w:rPr>
          <w:sz w:val="22"/>
          <w:szCs w:val="22"/>
        </w:rPr>
        <w:t xml:space="preserve">Section 1.1.1—15 requires that a substance that is </w:t>
      </w:r>
      <w:r w:rsidRPr="00CB083D">
        <w:rPr>
          <w:i/>
          <w:sz w:val="22"/>
          <w:szCs w:val="22"/>
        </w:rPr>
        <w:t>used as a nutritive substance</w:t>
      </w:r>
      <w:r w:rsidRPr="00CB083D">
        <w:rPr>
          <w:sz w:val="22"/>
          <w:szCs w:val="22"/>
        </w:rPr>
        <w:t xml:space="preserve"> must comply with any relevant identity and purity specification set out in Schedule 3. The application proposed </w:t>
      </w:r>
      <w:r w:rsidR="00B607A3" w:rsidRPr="00CB083D">
        <w:rPr>
          <w:sz w:val="22"/>
          <w:szCs w:val="22"/>
        </w:rPr>
        <w:t xml:space="preserve">a </w:t>
      </w:r>
      <w:r w:rsidRPr="00CB083D">
        <w:rPr>
          <w:sz w:val="22"/>
          <w:szCs w:val="22"/>
        </w:rPr>
        <w:t xml:space="preserve">specification for the 2′-FL </w:t>
      </w:r>
      <w:r w:rsidR="00CB083D" w:rsidRPr="00CB083D">
        <w:rPr>
          <w:sz w:val="22"/>
          <w:szCs w:val="22"/>
        </w:rPr>
        <w:t xml:space="preserve">produced using </w:t>
      </w:r>
      <w:r w:rsidR="00CB083D" w:rsidRPr="00F8281A">
        <w:rPr>
          <w:i/>
          <w:sz w:val="22"/>
          <w:szCs w:val="22"/>
        </w:rPr>
        <w:t>E. coli</w:t>
      </w:r>
      <w:r w:rsidR="00CB083D" w:rsidRPr="00CB083D">
        <w:rPr>
          <w:sz w:val="22"/>
          <w:szCs w:val="22"/>
        </w:rPr>
        <w:t xml:space="preserve"> K-12 containing the gene for alpha-1,2-fucosyltransferase from </w:t>
      </w:r>
      <w:r w:rsidR="00CB083D" w:rsidRPr="00CB083D">
        <w:rPr>
          <w:i/>
          <w:sz w:val="22"/>
          <w:szCs w:val="22"/>
        </w:rPr>
        <w:t>Bacteroides vulgatus</w:t>
      </w:r>
      <w:r w:rsidR="00CB083D">
        <w:rPr>
          <w:i/>
          <w:sz w:val="22"/>
          <w:szCs w:val="22"/>
        </w:rPr>
        <w:t xml:space="preserve"> </w:t>
      </w:r>
      <w:r w:rsidRPr="00CB083D">
        <w:rPr>
          <w:sz w:val="22"/>
          <w:szCs w:val="22"/>
        </w:rPr>
        <w:t>for this purpose.</w:t>
      </w:r>
    </w:p>
    <w:p w14:paraId="3336A8DF" w14:textId="60B694ED" w:rsidR="009856D5" w:rsidRPr="00DE5CC1" w:rsidRDefault="009856D5" w:rsidP="00DE5CC1">
      <w:pPr>
        <w:pStyle w:val="Heading4"/>
      </w:pPr>
      <w:r w:rsidRPr="00DE5CC1">
        <w:t>1.3.1.3</w:t>
      </w:r>
      <w:r w:rsidRPr="00DE5CC1">
        <w:tab/>
        <w:t>Infant formula products</w:t>
      </w:r>
    </w:p>
    <w:p w14:paraId="2CAD21B1" w14:textId="77777777" w:rsidR="00DD4C88" w:rsidRPr="00DD4C88" w:rsidRDefault="00DD4C88" w:rsidP="00DD4C88">
      <w:pPr>
        <w:spacing w:after="240"/>
      </w:pPr>
      <w:r w:rsidRPr="00DD4C88">
        <w:t>The composition of infant formula is regulated in Standard 2.9.1 and Schedule 29. This standard (and associated schedule) sets out specific compositional and labelling requirements for the following IFP:</w:t>
      </w:r>
    </w:p>
    <w:p w14:paraId="08F25A25" w14:textId="77777777" w:rsidR="00DD4C88" w:rsidRPr="00DD4C88" w:rsidRDefault="00DD4C88" w:rsidP="00DD4C88">
      <w:pPr>
        <w:pStyle w:val="FSBullet1"/>
      </w:pPr>
      <w:r w:rsidRPr="00DD4C88">
        <w:t>infant formula (for infants aged 0 to &lt;12 months)</w:t>
      </w:r>
    </w:p>
    <w:p w14:paraId="547904EC" w14:textId="77777777" w:rsidR="00DD4C88" w:rsidRPr="00DD4C88" w:rsidRDefault="00DD4C88" w:rsidP="00DD4C88">
      <w:pPr>
        <w:pStyle w:val="FSBullet1"/>
      </w:pPr>
      <w:r w:rsidRPr="00DD4C88">
        <w:t>follow-on formula (for infants aged from 6 to &lt;12 months)</w:t>
      </w:r>
    </w:p>
    <w:p w14:paraId="41BEB683" w14:textId="1D61D8EA" w:rsidR="00DD4C88" w:rsidRPr="00DD4C88" w:rsidRDefault="00DD4C88" w:rsidP="00DD4C88">
      <w:pPr>
        <w:pStyle w:val="FSBullet1"/>
      </w:pPr>
      <w:r w:rsidRPr="00DD4C88">
        <w:t>infant formula products for special dietary use (for infants aged 0 to &lt;12 months)</w:t>
      </w:r>
      <w:r w:rsidR="000C1704">
        <w:t>.</w:t>
      </w:r>
    </w:p>
    <w:p w14:paraId="60334225" w14:textId="12BF137D" w:rsidR="009856D5" w:rsidRPr="00DE5CC1" w:rsidRDefault="009856D5" w:rsidP="00DE5CC1">
      <w:pPr>
        <w:pStyle w:val="Heading4"/>
      </w:pPr>
      <w:r w:rsidRPr="00DE5CC1">
        <w:t>1.3.1.</w:t>
      </w:r>
      <w:r w:rsidR="00DD4C88">
        <w:t>4</w:t>
      </w:r>
      <w:r w:rsidRPr="00DE5CC1">
        <w:tab/>
        <w:t>Labelling requirements</w:t>
      </w:r>
    </w:p>
    <w:p w14:paraId="07B6DFA2" w14:textId="66316200" w:rsidR="00DD4C88" w:rsidRPr="00DD4C88" w:rsidRDefault="00DD4C88" w:rsidP="00DD4C88">
      <w:pPr>
        <w:widowControl/>
        <w:rPr>
          <w:i/>
          <w:szCs w:val="22"/>
          <w:lang w:eastAsia="en-AU"/>
        </w:rPr>
      </w:pPr>
      <w:r w:rsidRPr="00DD4C88">
        <w:t>Paragraph 1.1.1—10(8) requires that food for sale must comply with all relevant labelling requirements in the Code for that food.</w:t>
      </w:r>
      <w:r w:rsidRPr="00DD4C88">
        <w:rPr>
          <w:szCs w:val="22"/>
          <w:lang w:eastAsia="en-AU"/>
        </w:rPr>
        <w:t xml:space="preserve"> In addition to specific lab</w:t>
      </w:r>
      <w:r w:rsidR="000C59CD">
        <w:rPr>
          <w:szCs w:val="22"/>
          <w:lang w:eastAsia="en-AU"/>
        </w:rPr>
        <w:t>elling requirements in Standard</w:t>
      </w:r>
      <w:r w:rsidRPr="00DD4C88">
        <w:rPr>
          <w:szCs w:val="22"/>
          <w:lang w:eastAsia="en-AU"/>
        </w:rPr>
        <w:t xml:space="preserve"> 2.9.1</w:t>
      </w:r>
      <w:r w:rsidR="009A34DF">
        <w:rPr>
          <w:szCs w:val="22"/>
          <w:lang w:eastAsia="en-AU"/>
        </w:rPr>
        <w:t>,</w:t>
      </w:r>
      <w:r w:rsidR="00CA11D4">
        <w:rPr>
          <w:szCs w:val="22"/>
          <w:lang w:eastAsia="en-AU"/>
        </w:rPr>
        <w:t xml:space="preserve"> including for declaring </w:t>
      </w:r>
      <w:r w:rsidR="00CA11D4" w:rsidRPr="00DD4C88" w:rsidDel="00AD636D">
        <w:t>nutrition information</w:t>
      </w:r>
      <w:r w:rsidRPr="00DD4C88" w:rsidDel="00943C5C">
        <w:t xml:space="preserve"> and </w:t>
      </w:r>
      <w:r w:rsidR="00CA11D4">
        <w:t xml:space="preserve">provisions on </w:t>
      </w:r>
      <w:r w:rsidR="00CA11D4" w:rsidRPr="00DD4C88" w:rsidDel="00AD636D">
        <w:t>prohibited representations</w:t>
      </w:r>
      <w:r w:rsidR="009A34DF">
        <w:t>,</w:t>
      </w:r>
      <w:r w:rsidRPr="00DD4C88">
        <w:rPr>
          <w:szCs w:val="22"/>
          <w:lang w:eastAsia="en-AU"/>
        </w:rPr>
        <w:t xml:space="preserve"> the following general la</w:t>
      </w:r>
      <w:r w:rsidR="000C59CD">
        <w:rPr>
          <w:szCs w:val="22"/>
          <w:lang w:eastAsia="en-AU"/>
        </w:rPr>
        <w:t>belling requirements also apply:</w:t>
      </w:r>
      <w:r w:rsidRPr="00DD4C88">
        <w:rPr>
          <w:szCs w:val="22"/>
          <w:lang w:eastAsia="en-AU"/>
        </w:rPr>
        <w:t xml:space="preserve"> </w:t>
      </w:r>
    </w:p>
    <w:p w14:paraId="0DAE0C8B" w14:textId="77777777" w:rsidR="00DD4C88" w:rsidRPr="00DD4C88" w:rsidRDefault="00DD4C88" w:rsidP="00873003">
      <w:pPr>
        <w:pStyle w:val="FSBullet1"/>
      </w:pPr>
      <w:r w:rsidRPr="00DD4C88">
        <w:t>Standard 1.2.4 generally requires food products to be labelled with a statement of ingredients.</w:t>
      </w:r>
    </w:p>
    <w:p w14:paraId="6923D6EF" w14:textId="77777777" w:rsidR="00DD4C88" w:rsidRPr="00DD4C88" w:rsidRDefault="00DD4C88" w:rsidP="00873003">
      <w:pPr>
        <w:pStyle w:val="FSBullet1"/>
      </w:pPr>
      <w:r w:rsidRPr="00DD4C88">
        <w:t>Standard 1.2.7 sets out the requirements and conditions for voluntary nutrition, health and related claims made about food. Paragraph 1.2.7—4(b) states a nutrition content claim or health claim must not be made about an IFP.</w:t>
      </w:r>
    </w:p>
    <w:p w14:paraId="4257B42F" w14:textId="627672E2" w:rsidR="00DD4C88" w:rsidRDefault="00DD4C88" w:rsidP="00873003">
      <w:pPr>
        <w:pStyle w:val="FSBullet1"/>
      </w:pPr>
      <w:r w:rsidRPr="00DD4C88">
        <w:t xml:space="preserve">Section 1.5.2—4 sets out labelling requirements for foods for sale that consist of, or have as an ingredient, food that is a </w:t>
      </w:r>
      <w:r w:rsidRPr="000C59CD">
        <w:rPr>
          <w:i/>
        </w:rPr>
        <w:t>genetically modified food</w:t>
      </w:r>
      <w:r w:rsidRPr="00DD4C88">
        <w:t xml:space="preserve">. A </w:t>
      </w:r>
      <w:r w:rsidRPr="000C59CD">
        <w:rPr>
          <w:i/>
        </w:rPr>
        <w:t>genetically modified food</w:t>
      </w:r>
      <w:r w:rsidRPr="00DD4C88">
        <w:t xml:space="preserve"> is defined in subsection 1.5.2—4(5) as a </w:t>
      </w:r>
      <w:r w:rsidRPr="000C59CD">
        <w:rPr>
          <w:i/>
        </w:rPr>
        <w:t>food produced using gene technology</w:t>
      </w:r>
      <w:r w:rsidRPr="00DD4C88">
        <w:t xml:space="preserve"> that contains novel DNA or novel protein; or is listed in section S26—3 as subject to the condition that its labelling must comply with section 1.5.2—4. </w:t>
      </w:r>
    </w:p>
    <w:p w14:paraId="13241B8B" w14:textId="2DBB412A" w:rsidR="009856D5" w:rsidRPr="00DE5CC1" w:rsidRDefault="009856D5" w:rsidP="00DE5CC1">
      <w:pPr>
        <w:pStyle w:val="Heading4"/>
      </w:pPr>
      <w:r w:rsidRPr="00DE5CC1">
        <w:t>1.3.1.</w:t>
      </w:r>
      <w:r w:rsidR="00DD4C88">
        <w:t>5</w:t>
      </w:r>
      <w:r w:rsidRPr="00DE5CC1">
        <w:tab/>
        <w:t>Current oligosaccharide permissions and restrictions</w:t>
      </w:r>
    </w:p>
    <w:p w14:paraId="7ADEF08C" w14:textId="77777777" w:rsidR="00DD4C88" w:rsidRPr="00DD4C88" w:rsidRDefault="00DD4C88" w:rsidP="00DD4C88">
      <w:pPr>
        <w:widowControl/>
        <w:rPr>
          <w:szCs w:val="22"/>
        </w:rPr>
      </w:pPr>
      <w:bookmarkStart w:id="38" w:name="_Toc525729984"/>
      <w:bookmarkStart w:id="39" w:name="_Toc527018229"/>
      <w:bookmarkStart w:id="40" w:name="_Toc11247895"/>
      <w:bookmarkStart w:id="41" w:name="_Toc14427189"/>
      <w:bookmarkStart w:id="42" w:name="_Toc22303659"/>
      <w:bookmarkStart w:id="43" w:name="_Toc22650322"/>
      <w:bookmarkStart w:id="44" w:name="_Toc73104820"/>
      <w:bookmarkStart w:id="45" w:name="_Toc77338767"/>
      <w:r w:rsidRPr="00DD4C88">
        <w:t>The ingredient under assessment is a non-digestible oligosaccharide</w:t>
      </w:r>
      <w:r w:rsidRPr="00DD4C88">
        <w:rPr>
          <w:szCs w:val="22"/>
        </w:rPr>
        <w:t xml:space="preserve">. This section summarises the current permissions and restrictions in the Code relating to </w:t>
      </w:r>
      <w:r w:rsidRPr="00DD4C88">
        <w:t>oligosaccharides.</w:t>
      </w:r>
    </w:p>
    <w:p w14:paraId="55BF2C7C" w14:textId="77777777" w:rsidR="00DD4C88" w:rsidRPr="00DD4C88" w:rsidRDefault="00DD4C88" w:rsidP="00DD4C88">
      <w:r w:rsidRPr="00DD4C88">
        <w:lastRenderedPageBreak/>
        <w:t xml:space="preserve">The Code currently regulates the addition of galacto-oligosaccharides (GOS) and inulin-type fructans (ITF) (both are defined in subsection 1.1.2—2) to IFP (see section 2.9.1—7). GOS and ITF are also permitted in general foods by their specific exclusion from the definition of </w:t>
      </w:r>
      <w:r w:rsidRPr="00DD4C88">
        <w:rPr>
          <w:i/>
        </w:rPr>
        <w:t>used as a nutritive substance</w:t>
      </w:r>
      <w:r w:rsidRPr="00DD4C88">
        <w:t xml:space="preserve"> in section 1.1.2—12 and general provisions in section 1.1.1—10. ITF includes substances such as fructo-oligosaccharides (FOS), short-chain FOS (scFOS), oligofructose and inulin (FSANZ 2013). Unlike 2′-FL, ITF are not present in human milk and GOS is found only in trace amounts (FSANZ 2008). </w:t>
      </w:r>
    </w:p>
    <w:p w14:paraId="221A742E" w14:textId="77777777" w:rsidR="00DD4C88" w:rsidRPr="00DD4C88" w:rsidRDefault="00DD4C88" w:rsidP="00DD4C88">
      <w:pPr>
        <w:widowControl/>
      </w:pPr>
      <w:r w:rsidRPr="00DD4C88">
        <w:rPr>
          <w:szCs w:val="22"/>
        </w:rPr>
        <w:t xml:space="preserve">For IFP, section 2.9.1—7 sets out restrictions on the addition of ITF and GOS to IFP. Subsection 2.9.1—7(1) permits the addition of ITF alone (up to 110 mg/100 kJ), GOS alone (up to 290 mg/100 kJ), or ITF and GOS combined (up to 290 mg/100 kJ, with no more than 110 mg/kJ of ITF). These amounts were converted to the respective mg/100 kJ units for Code purposes from 8 g/L of GOS (alone or combined with ITF) and 3 g/L of ITF. Subsection 2.9.1—7(2) prohibits the use of ITF and/or GOS in IFP with </w:t>
      </w:r>
      <w:r w:rsidRPr="00DD4C88">
        <w:t>2′-FL either alone; or in combination with lacto-N-neotetraose (LNnT).</w:t>
      </w:r>
    </w:p>
    <w:p w14:paraId="4BBB350A" w14:textId="167FFDF5" w:rsidR="00700B2F" w:rsidRDefault="009856D5" w:rsidP="00DE5CC1">
      <w:pPr>
        <w:pStyle w:val="Heading3"/>
      </w:pPr>
      <w:r w:rsidRPr="00DE5CC1">
        <w:t>1.3.2</w:t>
      </w:r>
      <w:r w:rsidRPr="00DE5CC1">
        <w:tab/>
      </w:r>
      <w:r w:rsidR="00DD4C88" w:rsidRPr="00DD4C88">
        <w:t>Regulation in other countries</w:t>
      </w:r>
    </w:p>
    <w:p w14:paraId="505B7379" w14:textId="77777777" w:rsidR="00DD4C88" w:rsidRPr="00DD4C88" w:rsidRDefault="00DD4C88" w:rsidP="00DD4C88">
      <w:pPr>
        <w:keepNext/>
        <w:spacing w:before="240" w:after="240"/>
        <w:ind w:left="851" w:hanging="851"/>
        <w:outlineLvl w:val="3"/>
        <w:rPr>
          <w:b/>
          <w:bCs/>
          <w:i/>
          <w:iCs/>
          <w:szCs w:val="22"/>
          <w:lang w:bidi="ar-SA"/>
        </w:rPr>
      </w:pPr>
      <w:bookmarkStart w:id="46" w:name="_Toc73104821"/>
      <w:bookmarkStart w:id="47" w:name="_Toc77338768"/>
      <w:bookmarkEnd w:id="34"/>
      <w:bookmarkEnd w:id="35"/>
      <w:bookmarkEnd w:id="36"/>
      <w:bookmarkEnd w:id="37"/>
      <w:bookmarkEnd w:id="38"/>
      <w:bookmarkEnd w:id="39"/>
      <w:bookmarkEnd w:id="40"/>
      <w:bookmarkEnd w:id="41"/>
      <w:bookmarkEnd w:id="42"/>
      <w:bookmarkEnd w:id="43"/>
      <w:bookmarkEnd w:id="44"/>
      <w:bookmarkEnd w:id="45"/>
      <w:r w:rsidRPr="00DD4C88">
        <w:rPr>
          <w:b/>
          <w:bCs/>
          <w:i/>
          <w:iCs/>
          <w:szCs w:val="22"/>
          <w:lang w:bidi="ar-SA"/>
        </w:rPr>
        <w:t>1.3.2.1</w:t>
      </w:r>
      <w:r w:rsidRPr="00DD4C88">
        <w:rPr>
          <w:b/>
          <w:bCs/>
          <w:i/>
          <w:iCs/>
          <w:szCs w:val="22"/>
          <w:lang w:bidi="ar-SA"/>
        </w:rPr>
        <w:tab/>
        <w:t>2′-FL</w:t>
      </w:r>
    </w:p>
    <w:p w14:paraId="5F69D454" w14:textId="77777777" w:rsidR="00DD4C88" w:rsidRPr="00DD4C88" w:rsidRDefault="00DD4C88" w:rsidP="00DD4C88">
      <w:pPr>
        <w:widowControl/>
      </w:pPr>
      <w:r w:rsidRPr="00DD4C88">
        <w:t>2′-FL produced by microbial fermentation and by chemical synthesis is permitted for use in IFP equivalent products and many other foods in at least 37 overseas countries at a range of levels. Table 1 outlines some international permissions for 2′-FL alone. When permitted for use with LNnT, these levels are reduced.</w:t>
      </w:r>
    </w:p>
    <w:p w14:paraId="7A037F84" w14:textId="77777777" w:rsidR="00DD4C88" w:rsidRPr="00DD4C88" w:rsidRDefault="00DD4C88" w:rsidP="00DD4C88">
      <w:pPr>
        <w:widowControl/>
        <w:spacing w:after="240"/>
        <w:jc w:val="center"/>
        <w:rPr>
          <w:rFonts w:ascii="Arial Bold" w:hAnsi="Arial Bold" w:cs="Arial"/>
          <w:b/>
          <w:sz w:val="20"/>
          <w:szCs w:val="20"/>
        </w:rPr>
      </w:pPr>
      <w:r w:rsidRPr="00DD4C88">
        <w:rPr>
          <w:rFonts w:ascii="Arial Bold" w:hAnsi="Arial Bold" w:cs="Arial"/>
          <w:b/>
          <w:sz w:val="20"/>
          <w:szCs w:val="20"/>
        </w:rPr>
        <w:t>Table 1: International permissions for use of 2′-FL in infant formula*</w:t>
      </w:r>
    </w:p>
    <w:tbl>
      <w:tblPr>
        <w:tblStyle w:val="TableGrid1"/>
        <w:tblW w:w="5665" w:type="dxa"/>
        <w:jc w:val="center"/>
        <w:tblLook w:val="04A0" w:firstRow="1" w:lastRow="0" w:firstColumn="1" w:lastColumn="0" w:noHBand="0" w:noVBand="1"/>
        <w:tblCaption w:val="Summary of internatoinal permissions for use of 2'FL and LNnT"/>
        <w:tblDescription w:val="The table lists the maximum permitted amounts for 2'FL and LNnT in infant formula and toddler milk in seven countries. "/>
      </w:tblPr>
      <w:tblGrid>
        <w:gridCol w:w="2689"/>
        <w:gridCol w:w="2976"/>
      </w:tblGrid>
      <w:tr w:rsidR="00DD4C88" w:rsidRPr="00DD4C88" w14:paraId="0194278A" w14:textId="77777777" w:rsidTr="000821E6">
        <w:trPr>
          <w:trHeight w:val="516"/>
          <w:tblHeader/>
          <w:jc w:val="center"/>
        </w:trPr>
        <w:tc>
          <w:tcPr>
            <w:tcW w:w="2689" w:type="dxa"/>
            <w:shd w:val="clear" w:color="auto" w:fill="DBE5F1" w:themeFill="accent1" w:themeFillTint="33"/>
            <w:vAlign w:val="center"/>
          </w:tcPr>
          <w:p w14:paraId="733FE575" w14:textId="77777777" w:rsidR="00DD4C88" w:rsidRPr="00DD4C88" w:rsidRDefault="00DD4C88" w:rsidP="00DD4C88">
            <w:pPr>
              <w:widowControl/>
              <w:rPr>
                <w:b/>
              </w:rPr>
            </w:pPr>
            <w:r w:rsidRPr="00DD4C88">
              <w:rPr>
                <w:b/>
              </w:rPr>
              <w:t>Country</w:t>
            </w:r>
          </w:p>
        </w:tc>
        <w:tc>
          <w:tcPr>
            <w:tcW w:w="2976" w:type="dxa"/>
            <w:shd w:val="clear" w:color="auto" w:fill="DBE5F1" w:themeFill="accent1" w:themeFillTint="33"/>
            <w:vAlign w:val="center"/>
          </w:tcPr>
          <w:p w14:paraId="7552B91B" w14:textId="77777777" w:rsidR="00DD4C88" w:rsidRPr="00DD4C88" w:rsidRDefault="00DD4C88" w:rsidP="00DD4C88">
            <w:pPr>
              <w:widowControl/>
              <w:jc w:val="center"/>
              <w:rPr>
                <w:b/>
              </w:rPr>
            </w:pPr>
            <w:r w:rsidRPr="00DD4C88">
              <w:rPr>
                <w:b/>
              </w:rPr>
              <w:t>Max. use level (g/L)</w:t>
            </w:r>
          </w:p>
        </w:tc>
      </w:tr>
      <w:tr w:rsidR="00DD4C88" w:rsidRPr="00DD4C88" w14:paraId="7741C91B" w14:textId="77777777" w:rsidTr="000821E6">
        <w:trPr>
          <w:jc w:val="center"/>
        </w:trPr>
        <w:tc>
          <w:tcPr>
            <w:tcW w:w="2689" w:type="dxa"/>
            <w:vAlign w:val="center"/>
          </w:tcPr>
          <w:p w14:paraId="2BBD8DCF" w14:textId="77777777" w:rsidR="00DD4C88" w:rsidRPr="00DD4C88" w:rsidRDefault="00DD4C88" w:rsidP="00DD4C88">
            <w:r w:rsidRPr="00DD4C88">
              <w:t>United States</w:t>
            </w:r>
          </w:p>
        </w:tc>
        <w:tc>
          <w:tcPr>
            <w:tcW w:w="2976" w:type="dxa"/>
            <w:vAlign w:val="center"/>
          </w:tcPr>
          <w:p w14:paraId="21F60C47" w14:textId="77777777" w:rsidR="00DD4C88" w:rsidRPr="00DD4C88" w:rsidRDefault="00DD4C88" w:rsidP="00DD4C88">
            <w:pPr>
              <w:jc w:val="center"/>
            </w:pPr>
            <w:r w:rsidRPr="00DD4C88">
              <w:t>2.4</w:t>
            </w:r>
          </w:p>
        </w:tc>
      </w:tr>
      <w:tr w:rsidR="00DD4C88" w:rsidRPr="00DD4C88" w14:paraId="7DC966FC" w14:textId="77777777" w:rsidTr="000821E6">
        <w:trPr>
          <w:trHeight w:val="252"/>
          <w:jc w:val="center"/>
        </w:trPr>
        <w:tc>
          <w:tcPr>
            <w:tcW w:w="2689" w:type="dxa"/>
            <w:vAlign w:val="center"/>
          </w:tcPr>
          <w:p w14:paraId="31CD1A0A" w14:textId="77777777" w:rsidR="00DD4C88" w:rsidRPr="00DD4C88" w:rsidRDefault="00DD4C88" w:rsidP="00DD4C88">
            <w:r w:rsidRPr="00DD4C88">
              <w:t>Canada</w:t>
            </w:r>
            <w:r w:rsidRPr="00DD4C88">
              <w:rPr>
                <w:vertAlign w:val="superscript"/>
              </w:rPr>
              <w:t>#</w:t>
            </w:r>
          </w:p>
        </w:tc>
        <w:tc>
          <w:tcPr>
            <w:tcW w:w="2976" w:type="dxa"/>
            <w:vAlign w:val="center"/>
          </w:tcPr>
          <w:p w14:paraId="246CD238" w14:textId="77777777" w:rsidR="00DD4C88" w:rsidRPr="00DD4C88" w:rsidRDefault="00DD4C88" w:rsidP="00DD4C88">
            <w:pPr>
              <w:jc w:val="center"/>
            </w:pPr>
            <w:r w:rsidRPr="00DD4C88">
              <w:t>1.2</w:t>
            </w:r>
          </w:p>
        </w:tc>
      </w:tr>
      <w:tr w:rsidR="00DD4C88" w:rsidRPr="00DD4C88" w14:paraId="7B32B28F" w14:textId="77777777" w:rsidTr="000821E6">
        <w:trPr>
          <w:trHeight w:val="252"/>
          <w:jc w:val="center"/>
        </w:trPr>
        <w:tc>
          <w:tcPr>
            <w:tcW w:w="2689" w:type="dxa"/>
            <w:vAlign w:val="center"/>
          </w:tcPr>
          <w:p w14:paraId="3280DE0A" w14:textId="77777777" w:rsidR="00DD4C88" w:rsidRPr="00DD4C88" w:rsidRDefault="00DD4C88" w:rsidP="00DD4C88">
            <w:r w:rsidRPr="00DD4C88">
              <w:t>Singapore</w:t>
            </w:r>
          </w:p>
        </w:tc>
        <w:tc>
          <w:tcPr>
            <w:tcW w:w="2976" w:type="dxa"/>
            <w:vAlign w:val="center"/>
          </w:tcPr>
          <w:p w14:paraId="14D2EF4A" w14:textId="77777777" w:rsidR="00DD4C88" w:rsidRPr="00DD4C88" w:rsidRDefault="00DD4C88" w:rsidP="00DD4C88">
            <w:pPr>
              <w:jc w:val="center"/>
            </w:pPr>
            <w:r w:rsidRPr="00DD4C88">
              <w:t>1.2</w:t>
            </w:r>
          </w:p>
        </w:tc>
      </w:tr>
      <w:tr w:rsidR="00DD4C88" w:rsidRPr="00DD4C88" w14:paraId="714DB7A6" w14:textId="77777777" w:rsidTr="000821E6">
        <w:trPr>
          <w:trHeight w:val="252"/>
          <w:jc w:val="center"/>
        </w:trPr>
        <w:tc>
          <w:tcPr>
            <w:tcW w:w="2689" w:type="dxa"/>
            <w:vAlign w:val="center"/>
          </w:tcPr>
          <w:p w14:paraId="62F91F7E" w14:textId="44EEF9E6" w:rsidR="00DD4C88" w:rsidRPr="00DD4C88" w:rsidRDefault="00DD4C88" w:rsidP="00FA2880">
            <w:r w:rsidRPr="00DD4C88">
              <w:t>European Union</w:t>
            </w:r>
          </w:p>
        </w:tc>
        <w:tc>
          <w:tcPr>
            <w:tcW w:w="2976" w:type="dxa"/>
            <w:vAlign w:val="center"/>
          </w:tcPr>
          <w:p w14:paraId="0A3A153F" w14:textId="77777777" w:rsidR="00DD4C88" w:rsidRPr="00DD4C88" w:rsidRDefault="00DD4C88" w:rsidP="00DD4C88">
            <w:pPr>
              <w:jc w:val="center"/>
            </w:pPr>
            <w:r w:rsidRPr="00DD4C88">
              <w:t>1.2</w:t>
            </w:r>
          </w:p>
        </w:tc>
      </w:tr>
      <w:tr w:rsidR="00DD4C88" w:rsidRPr="00DD4C88" w14:paraId="7AFF492D" w14:textId="77777777" w:rsidTr="000821E6">
        <w:trPr>
          <w:trHeight w:val="252"/>
          <w:jc w:val="center"/>
        </w:trPr>
        <w:tc>
          <w:tcPr>
            <w:tcW w:w="2689" w:type="dxa"/>
            <w:vAlign w:val="center"/>
          </w:tcPr>
          <w:p w14:paraId="4D8B4A20" w14:textId="77777777" w:rsidR="00DD4C88" w:rsidRPr="00DD4C88" w:rsidRDefault="00DD4C88" w:rsidP="00DD4C88">
            <w:r w:rsidRPr="00DD4C88">
              <w:t>Israel</w:t>
            </w:r>
          </w:p>
        </w:tc>
        <w:tc>
          <w:tcPr>
            <w:tcW w:w="2976" w:type="dxa"/>
            <w:vAlign w:val="center"/>
          </w:tcPr>
          <w:p w14:paraId="73A779F9" w14:textId="77777777" w:rsidR="00DD4C88" w:rsidRPr="00DD4C88" w:rsidRDefault="00DD4C88" w:rsidP="00DD4C88">
            <w:pPr>
              <w:jc w:val="center"/>
            </w:pPr>
            <w:r w:rsidRPr="00DD4C88">
              <w:t>2.0</w:t>
            </w:r>
          </w:p>
        </w:tc>
      </w:tr>
      <w:tr w:rsidR="00DD4C88" w:rsidRPr="00DD4C88" w14:paraId="79730D14" w14:textId="77777777" w:rsidTr="000821E6">
        <w:trPr>
          <w:trHeight w:val="252"/>
          <w:jc w:val="center"/>
        </w:trPr>
        <w:tc>
          <w:tcPr>
            <w:tcW w:w="2689" w:type="dxa"/>
            <w:vAlign w:val="center"/>
          </w:tcPr>
          <w:p w14:paraId="2EA75024" w14:textId="77777777" w:rsidR="00DD4C88" w:rsidRPr="00DD4C88" w:rsidRDefault="00DD4C88" w:rsidP="00DD4C88">
            <w:r w:rsidRPr="00DD4C88">
              <w:t>Korea</w:t>
            </w:r>
          </w:p>
        </w:tc>
        <w:tc>
          <w:tcPr>
            <w:tcW w:w="2976" w:type="dxa"/>
            <w:vAlign w:val="center"/>
          </w:tcPr>
          <w:p w14:paraId="63BA343E" w14:textId="77777777" w:rsidR="00DD4C88" w:rsidRPr="00DD4C88" w:rsidRDefault="00DD4C88" w:rsidP="00DD4C88">
            <w:pPr>
              <w:jc w:val="center"/>
            </w:pPr>
            <w:r w:rsidRPr="00DD4C88">
              <w:t>2.0</w:t>
            </w:r>
          </w:p>
        </w:tc>
      </w:tr>
      <w:tr w:rsidR="00DD4C88" w:rsidRPr="00DD4C88" w14:paraId="2466AA10" w14:textId="77777777" w:rsidTr="000821E6">
        <w:trPr>
          <w:trHeight w:val="252"/>
          <w:jc w:val="center"/>
        </w:trPr>
        <w:tc>
          <w:tcPr>
            <w:tcW w:w="2689" w:type="dxa"/>
            <w:vAlign w:val="center"/>
          </w:tcPr>
          <w:p w14:paraId="4DC9C14F" w14:textId="77777777" w:rsidR="00DD4C88" w:rsidRPr="00DD4C88" w:rsidRDefault="00DD4C88" w:rsidP="00DD4C88">
            <w:r w:rsidRPr="00DD4C88">
              <w:t>Philippines</w:t>
            </w:r>
          </w:p>
        </w:tc>
        <w:tc>
          <w:tcPr>
            <w:tcW w:w="2976" w:type="dxa"/>
            <w:vAlign w:val="center"/>
          </w:tcPr>
          <w:p w14:paraId="5009D614" w14:textId="77777777" w:rsidR="00DD4C88" w:rsidRPr="00DD4C88" w:rsidRDefault="00DD4C88" w:rsidP="00DD4C88">
            <w:pPr>
              <w:jc w:val="center"/>
            </w:pPr>
            <w:r w:rsidRPr="00DD4C88">
              <w:t>1.2</w:t>
            </w:r>
          </w:p>
        </w:tc>
      </w:tr>
    </w:tbl>
    <w:p w14:paraId="60CEAF19" w14:textId="6595B72A" w:rsidR="0035420A" w:rsidRPr="0035420A" w:rsidRDefault="0035420A" w:rsidP="0035420A">
      <w:pPr>
        <w:widowControl/>
        <w:contextualSpacing/>
        <w:jc w:val="center"/>
        <w:rPr>
          <w:sz w:val="18"/>
          <w:szCs w:val="18"/>
        </w:rPr>
      </w:pPr>
      <w:r w:rsidRPr="0035420A">
        <w:rPr>
          <w:sz w:val="18"/>
          <w:szCs w:val="18"/>
        </w:rPr>
        <w:t>Notes to table:*Infant formula categories vary between countries</w:t>
      </w:r>
    </w:p>
    <w:p w14:paraId="56159A1B" w14:textId="4B4BF320" w:rsidR="0035420A" w:rsidRDefault="0035420A" w:rsidP="0035420A">
      <w:pPr>
        <w:widowControl/>
        <w:contextualSpacing/>
        <w:jc w:val="center"/>
        <w:rPr>
          <w:sz w:val="18"/>
          <w:szCs w:val="18"/>
        </w:rPr>
      </w:pPr>
      <w:r w:rsidRPr="0035420A">
        <w:rPr>
          <w:sz w:val="18"/>
          <w:szCs w:val="18"/>
        </w:rPr>
        <w:t># Permission as novel food with support for use in infant formula</w:t>
      </w:r>
    </w:p>
    <w:p w14:paraId="3BBAE4F9" w14:textId="77777777" w:rsidR="0035420A" w:rsidRPr="0035420A" w:rsidRDefault="0035420A" w:rsidP="0035420A">
      <w:pPr>
        <w:widowControl/>
        <w:contextualSpacing/>
        <w:rPr>
          <w:sz w:val="18"/>
          <w:szCs w:val="18"/>
        </w:rPr>
      </w:pPr>
    </w:p>
    <w:p w14:paraId="24B66119" w14:textId="2746C3B5" w:rsidR="00DD4C88" w:rsidRPr="00DD4C88" w:rsidRDefault="00DD4C88" w:rsidP="00DD4C88">
      <w:pPr>
        <w:widowControl/>
      </w:pPr>
      <w:r w:rsidRPr="00DD4C88">
        <w:t xml:space="preserve">Labelling permissions and restrictions differ across countries. Some specify the terminology that must be used for the ingredients on labels while others do not. Some countries permit </w:t>
      </w:r>
      <w:r w:rsidR="00DF52DC">
        <w:t xml:space="preserve">nutrition and health </w:t>
      </w:r>
      <w:r w:rsidRPr="00DD4C88">
        <w:t>claims on IFP while other countries do not.</w:t>
      </w:r>
    </w:p>
    <w:p w14:paraId="03B7CC56" w14:textId="2E7CAB17" w:rsidR="00DD4C88" w:rsidRPr="00DD4C88" w:rsidRDefault="00DD4C88" w:rsidP="00DD4C88">
      <w:pPr>
        <w:rPr>
          <w:szCs w:val="22"/>
          <w:lang w:val="en-AU"/>
        </w:rPr>
      </w:pPr>
      <w:r w:rsidRPr="00DD4C88">
        <w:rPr>
          <w:szCs w:val="22"/>
        </w:rPr>
        <w:t>The current Codex Alimentarius Standards for Infant Formula and Formulas for Special Medical Purposes Intended for Infants (</w:t>
      </w:r>
      <w:hyperlink r:id="rId21" w:history="1">
        <w:r w:rsidRPr="00DD4C88">
          <w:rPr>
            <w:color w:val="3333FF"/>
            <w:szCs w:val="22"/>
            <w:u w:val="single"/>
          </w:rPr>
          <w:t>Codex Standard 72-1981</w:t>
        </w:r>
      </w:hyperlink>
      <w:r w:rsidRPr="00DD4C88">
        <w:rPr>
          <w:szCs w:val="22"/>
        </w:rPr>
        <w:t xml:space="preserve">) and for </w:t>
      </w:r>
      <w:r w:rsidRPr="00DD4C88">
        <w:rPr>
          <w:szCs w:val="22"/>
          <w:lang w:bidi="ar-SA"/>
        </w:rPr>
        <w:t>Follow-up Formula</w:t>
      </w:r>
      <w:r w:rsidRPr="00DD4C88">
        <w:rPr>
          <w:szCs w:val="22"/>
          <w:vertAlign w:val="superscript"/>
          <w:lang w:bidi="ar-SA"/>
        </w:rPr>
        <w:footnoteReference w:id="5"/>
      </w:r>
      <w:r w:rsidRPr="00DD4C88">
        <w:rPr>
          <w:szCs w:val="22"/>
          <w:lang w:bidi="ar-SA"/>
        </w:rPr>
        <w:t xml:space="preserve"> (</w:t>
      </w:r>
      <w:hyperlink r:id="rId22" w:history="1">
        <w:r w:rsidRPr="00DD4C88">
          <w:rPr>
            <w:color w:val="3333FF"/>
            <w:szCs w:val="22"/>
            <w:u w:val="single"/>
            <w:lang w:bidi="ar-SA"/>
          </w:rPr>
          <w:t>Codex Standard 156-1987</w:t>
        </w:r>
      </w:hyperlink>
      <w:r w:rsidRPr="00DD4C88">
        <w:rPr>
          <w:szCs w:val="22"/>
          <w:lang w:bidi="ar-SA"/>
        </w:rPr>
        <w:t xml:space="preserve">) </w:t>
      </w:r>
      <w:r w:rsidRPr="00DD4C88">
        <w:rPr>
          <w:szCs w:val="22"/>
        </w:rPr>
        <w:t xml:space="preserve">do not contain specific provisions for 2′-FL. However, the standards contain provisions for ‘optional ingredients’ which would apply to the addition of substances such as 2′-FL. </w:t>
      </w:r>
    </w:p>
    <w:p w14:paraId="3D26A0F6" w14:textId="603A6291" w:rsidR="00DD4C88" w:rsidRPr="00DD4C88" w:rsidRDefault="00DD4C88" w:rsidP="00DD4C88">
      <w:pPr>
        <w:keepNext/>
        <w:spacing w:before="240" w:after="240"/>
        <w:ind w:left="851" w:hanging="851"/>
        <w:outlineLvl w:val="3"/>
        <w:rPr>
          <w:b/>
          <w:bCs/>
          <w:i/>
          <w:iCs/>
          <w:szCs w:val="22"/>
          <w:lang w:val="en-AU" w:bidi="ar-SA"/>
        </w:rPr>
      </w:pPr>
      <w:r w:rsidRPr="00DD4C88">
        <w:rPr>
          <w:b/>
          <w:bCs/>
          <w:i/>
          <w:iCs/>
          <w:szCs w:val="22"/>
          <w:lang w:bidi="ar-SA"/>
        </w:rPr>
        <w:t xml:space="preserve">1.3.2.2 </w:t>
      </w:r>
      <w:r w:rsidRPr="00DD4C88">
        <w:rPr>
          <w:b/>
          <w:bCs/>
          <w:i/>
          <w:iCs/>
          <w:szCs w:val="22"/>
          <w:lang w:bidi="ar-SA"/>
        </w:rPr>
        <w:tab/>
        <w:t>2′-FL</w:t>
      </w:r>
      <w:r w:rsidRPr="00DD4C88" w:rsidDel="0078718C">
        <w:rPr>
          <w:b/>
          <w:bCs/>
          <w:i/>
          <w:iCs/>
          <w:szCs w:val="22"/>
          <w:lang w:val="en-AU" w:bidi="ar-SA"/>
        </w:rPr>
        <w:t xml:space="preserve"> </w:t>
      </w:r>
      <w:r w:rsidR="001933FC">
        <w:rPr>
          <w:b/>
          <w:bCs/>
          <w:i/>
          <w:iCs/>
          <w:szCs w:val="22"/>
          <w:lang w:val="en-AU" w:bidi="ar-SA"/>
        </w:rPr>
        <w:t>derived from</w:t>
      </w:r>
      <w:r w:rsidRPr="00DD4C88">
        <w:rPr>
          <w:b/>
          <w:bCs/>
          <w:i/>
          <w:iCs/>
          <w:szCs w:val="22"/>
          <w:lang w:val="en-AU" w:bidi="ar-SA"/>
        </w:rPr>
        <w:t xml:space="preserve"> </w:t>
      </w:r>
      <w:r w:rsidRPr="00DD4C88">
        <w:rPr>
          <w:b/>
          <w:bCs/>
          <w:iCs/>
          <w:szCs w:val="22"/>
          <w:lang w:val="en-AU" w:bidi="ar-SA"/>
        </w:rPr>
        <w:t>E. coli</w:t>
      </w:r>
      <w:r w:rsidRPr="00DD4C88">
        <w:rPr>
          <w:b/>
          <w:bCs/>
          <w:i/>
          <w:iCs/>
          <w:szCs w:val="22"/>
          <w:lang w:val="en-AU" w:bidi="ar-SA"/>
        </w:rPr>
        <w:t xml:space="preserve"> K-12 containing the gene for alpha-1,2-</w:t>
      </w:r>
      <w:r w:rsidRPr="00DD4C88">
        <w:rPr>
          <w:b/>
          <w:bCs/>
          <w:i/>
          <w:iCs/>
          <w:szCs w:val="22"/>
          <w:lang w:val="en-AU" w:bidi="ar-SA"/>
        </w:rPr>
        <w:lastRenderedPageBreak/>
        <w:t xml:space="preserve">fucosyltransferase from </w:t>
      </w:r>
      <w:r w:rsidRPr="00DD4C88">
        <w:rPr>
          <w:b/>
          <w:bCs/>
          <w:iCs/>
          <w:szCs w:val="22"/>
          <w:lang w:val="en-AU" w:bidi="ar-SA"/>
        </w:rPr>
        <w:t>Bacteroides vulgatus</w:t>
      </w:r>
    </w:p>
    <w:p w14:paraId="0DF9CD2B" w14:textId="15A44330" w:rsidR="00DD4C88" w:rsidRPr="00DD4C88" w:rsidRDefault="00DD4C88" w:rsidP="00DD4C88">
      <w:r w:rsidRPr="00DD4C88">
        <w:t xml:space="preserve">2′-FL </w:t>
      </w:r>
      <w:r w:rsidR="001933FC">
        <w:t>derived from</w:t>
      </w:r>
      <w:r w:rsidRPr="00DD4C88">
        <w:t xml:space="preserve"> </w:t>
      </w:r>
      <w:r w:rsidR="00D14D09">
        <w:t>the production strain</w:t>
      </w:r>
      <w:r w:rsidRPr="00DD4C88">
        <w:t xml:space="preserve"> has received </w:t>
      </w:r>
      <w:r w:rsidR="00FA2880">
        <w:t>EU</w:t>
      </w:r>
      <w:r w:rsidRPr="00DD4C88">
        <w:t xml:space="preserve"> novel food approval. </w:t>
      </w:r>
    </w:p>
    <w:p w14:paraId="4340AF41" w14:textId="096930D8" w:rsidR="00DD4C88" w:rsidRPr="00DD4C88" w:rsidRDefault="00DD4C88" w:rsidP="00DD4C88">
      <w:r w:rsidRPr="00DD4C88">
        <w:t xml:space="preserve">The Novel Foods Unit (Ministry for Medical Care, Netherlands) has determined that the 2′-FL </w:t>
      </w:r>
      <w:r w:rsidR="001933FC">
        <w:t>derived from</w:t>
      </w:r>
      <w:r w:rsidR="001933FC" w:rsidRPr="00DD4C88">
        <w:t xml:space="preserve"> </w:t>
      </w:r>
      <w:r w:rsidR="00F8281A" w:rsidRPr="00F8281A">
        <w:rPr>
          <w:i/>
          <w:szCs w:val="22"/>
        </w:rPr>
        <w:t>E. coli</w:t>
      </w:r>
      <w:r w:rsidR="00F8281A" w:rsidRPr="00CB083D">
        <w:rPr>
          <w:szCs w:val="22"/>
        </w:rPr>
        <w:t xml:space="preserve"> K-12 containing the gene for alpha-1,2-fucosyltransferase from </w:t>
      </w:r>
      <w:r w:rsidR="00F8281A" w:rsidRPr="00CB083D">
        <w:rPr>
          <w:i/>
          <w:szCs w:val="22"/>
        </w:rPr>
        <w:t>Bacteroides vulgatus</w:t>
      </w:r>
      <w:r w:rsidR="00F8281A">
        <w:rPr>
          <w:i/>
          <w:szCs w:val="22"/>
        </w:rPr>
        <w:t xml:space="preserve"> </w:t>
      </w:r>
      <w:r w:rsidRPr="00DD4C88">
        <w:t xml:space="preserve">is substantially equivalent to a synthetic 2′-FL previously authorised in the </w:t>
      </w:r>
      <w:r w:rsidR="00FA2880">
        <w:t>EU</w:t>
      </w:r>
      <w:r w:rsidRPr="00DD4C88">
        <w:t xml:space="preserve"> (EFSA 2015)</w:t>
      </w:r>
      <w:r w:rsidRPr="00DD4C88">
        <w:rPr>
          <w:vertAlign w:val="superscript"/>
        </w:rPr>
        <w:footnoteReference w:id="6"/>
      </w:r>
      <w:r w:rsidRPr="00DD4C88">
        <w:t xml:space="preserve">. </w:t>
      </w:r>
    </w:p>
    <w:p w14:paraId="23903924" w14:textId="0F8DE002" w:rsidR="00DD4C88" w:rsidRPr="00DD4C88" w:rsidRDefault="00DD4C88" w:rsidP="00DD4C88">
      <w:r w:rsidRPr="00DD4C88">
        <w:t xml:space="preserve">In the </w:t>
      </w:r>
      <w:r w:rsidR="00FA2880">
        <w:t>United States of America (US)</w:t>
      </w:r>
      <w:r w:rsidRPr="00DD4C88">
        <w:t xml:space="preserve">, the Food and Drug Administration (FDA) has responded with ‘no questions’ to the </w:t>
      </w:r>
      <w:r w:rsidR="00DF6DB2">
        <w:t>applicant</w:t>
      </w:r>
      <w:r w:rsidRPr="00DD4C88">
        <w:t xml:space="preserve">’s self-assessment that 2′-FL </w:t>
      </w:r>
      <w:r w:rsidR="001933FC">
        <w:t>derived from</w:t>
      </w:r>
      <w:r w:rsidRPr="00DD4C88">
        <w:t xml:space="preserve"> </w:t>
      </w:r>
      <w:r w:rsidRPr="00DD4C88">
        <w:rPr>
          <w:i/>
        </w:rPr>
        <w:t>E. coli</w:t>
      </w:r>
      <w:r w:rsidRPr="00DD4C88">
        <w:t xml:space="preserve"> K-12 strain E997 is Generally Recognized As Safe (GRAS).</w:t>
      </w:r>
      <w:r w:rsidRPr="00DD4C88">
        <w:rPr>
          <w:vertAlign w:val="superscript"/>
        </w:rPr>
        <w:footnoteReference w:id="7"/>
      </w:r>
    </w:p>
    <w:p w14:paraId="6EECDC76" w14:textId="77777777" w:rsidR="00DD4C88" w:rsidRPr="00DD4C88" w:rsidRDefault="00DD4C88" w:rsidP="00DD4C88">
      <w:pPr>
        <w:keepNext/>
        <w:spacing w:before="240" w:after="240"/>
        <w:ind w:left="851" w:hanging="851"/>
        <w:outlineLvl w:val="2"/>
        <w:rPr>
          <w:b/>
          <w:bCs/>
          <w:color w:val="000000" w:themeColor="text1"/>
          <w:lang w:eastAsia="en-AU" w:bidi="ar-SA"/>
        </w:rPr>
      </w:pPr>
      <w:r w:rsidRPr="00DD4C88">
        <w:rPr>
          <w:b/>
          <w:bCs/>
          <w:color w:val="000000" w:themeColor="text1"/>
          <w:lang w:eastAsia="en-AU" w:bidi="ar-SA"/>
        </w:rPr>
        <w:t>1.3.3</w:t>
      </w:r>
      <w:r w:rsidRPr="00DD4C88">
        <w:rPr>
          <w:b/>
          <w:bCs/>
          <w:color w:val="000000" w:themeColor="text1"/>
          <w:lang w:eastAsia="en-AU" w:bidi="ar-SA"/>
        </w:rPr>
        <w:tab/>
        <w:t>Specifications in the EU</w:t>
      </w:r>
    </w:p>
    <w:p w14:paraId="0FD29886" w14:textId="5F5B87C8" w:rsidR="00DD4C88" w:rsidRPr="00DD4C88" w:rsidRDefault="00DD4C88" w:rsidP="00DD4C88">
      <w:pPr>
        <w:rPr>
          <w:lang w:eastAsia="en-AU" w:bidi="ar-SA"/>
        </w:rPr>
      </w:pPr>
      <w:r w:rsidRPr="00DD4C88">
        <w:rPr>
          <w:lang w:eastAsia="en-AU" w:bidi="ar-SA"/>
        </w:rPr>
        <w:t xml:space="preserve">The Commission Implementing Decision (EU) 2017/2201 authorised the use of 2′-FL produced with </w:t>
      </w:r>
      <w:r w:rsidRPr="00063576">
        <w:rPr>
          <w:i/>
          <w:lang w:eastAsia="en-AU" w:bidi="ar-SA"/>
        </w:rPr>
        <w:t>E. coli</w:t>
      </w:r>
      <w:r w:rsidRPr="00DD4C88">
        <w:rPr>
          <w:lang w:eastAsia="en-AU" w:bidi="ar-SA"/>
        </w:rPr>
        <w:t xml:space="preserve"> strain BL21 as a novel food ingredient. </w:t>
      </w:r>
      <w:r w:rsidR="0008263F">
        <w:rPr>
          <w:lang w:eastAsia="en-AU" w:bidi="ar-SA"/>
        </w:rPr>
        <w:t>Further to this, t</w:t>
      </w:r>
      <w:r w:rsidR="001A774F">
        <w:rPr>
          <w:lang w:eastAsia="en-AU" w:bidi="ar-SA"/>
        </w:rPr>
        <w:t xml:space="preserve">he </w:t>
      </w:r>
      <w:r w:rsidRPr="00DD4C88">
        <w:rPr>
          <w:lang w:eastAsia="en-AU" w:bidi="ar-SA"/>
        </w:rPr>
        <w:t xml:space="preserve">Commission Implementing Regulation (EU) 2019/388 of 11 March 2019 authorised a change of the specifications for 2′-FL </w:t>
      </w:r>
      <w:r w:rsidR="001933FC">
        <w:rPr>
          <w:lang w:eastAsia="en-AU" w:bidi="ar-SA"/>
        </w:rPr>
        <w:t>derived from</w:t>
      </w:r>
      <w:r w:rsidRPr="00DD4C88">
        <w:rPr>
          <w:lang w:eastAsia="en-AU" w:bidi="ar-SA"/>
        </w:rPr>
        <w:t xml:space="preserve"> </w:t>
      </w:r>
      <w:r w:rsidRPr="00DD4C88">
        <w:rPr>
          <w:i/>
          <w:lang w:eastAsia="en-AU" w:bidi="ar-SA"/>
        </w:rPr>
        <w:t>E. coli</w:t>
      </w:r>
      <w:r w:rsidRPr="00DD4C88">
        <w:rPr>
          <w:lang w:eastAsia="en-AU" w:bidi="ar-SA"/>
        </w:rPr>
        <w:t xml:space="preserve"> K-12, </w:t>
      </w:r>
      <w:r w:rsidR="00FA2880">
        <w:rPr>
          <w:lang w:eastAsia="en-AU" w:bidi="ar-SA"/>
        </w:rPr>
        <w:t xml:space="preserve">including the applicant’s production strain and the </w:t>
      </w:r>
      <w:r w:rsidR="00FA2880" w:rsidRPr="00DD4C88">
        <w:rPr>
          <w:i/>
          <w:lang w:eastAsia="en-AU" w:bidi="ar-SA"/>
        </w:rPr>
        <w:t>E. coli</w:t>
      </w:r>
      <w:r w:rsidR="00FA2880" w:rsidRPr="00DD4C88">
        <w:rPr>
          <w:lang w:eastAsia="en-AU" w:bidi="ar-SA"/>
        </w:rPr>
        <w:t xml:space="preserve"> K-12</w:t>
      </w:r>
      <w:r w:rsidR="00FA2880">
        <w:rPr>
          <w:lang w:eastAsia="en-AU" w:bidi="ar-SA"/>
        </w:rPr>
        <w:t xml:space="preserve"> production strain permitted through application </w:t>
      </w:r>
      <w:r w:rsidR="00FA2880" w:rsidRPr="00296F37">
        <w:rPr>
          <w:i/>
          <w:szCs w:val="22"/>
          <w:lang w:bidi="ar-SA"/>
        </w:rPr>
        <w:t>A1155 - 2′-FL and LNnT in infant formula and other products</w:t>
      </w:r>
      <w:r w:rsidRPr="00DD4C88">
        <w:rPr>
          <w:lang w:eastAsia="en-AU" w:bidi="ar-SA"/>
        </w:rPr>
        <w:t xml:space="preserve">. The specification </w:t>
      </w:r>
      <w:r w:rsidR="00FA2880">
        <w:rPr>
          <w:lang w:eastAsia="en-AU" w:bidi="ar-SA"/>
        </w:rPr>
        <w:t>is</w:t>
      </w:r>
      <w:r w:rsidR="00FA2880" w:rsidRPr="00DD4C88">
        <w:rPr>
          <w:lang w:eastAsia="en-AU" w:bidi="ar-SA"/>
        </w:rPr>
        <w:t xml:space="preserve"> </w:t>
      </w:r>
      <w:r w:rsidRPr="00DD4C88">
        <w:rPr>
          <w:lang w:eastAsia="en-AU" w:bidi="ar-SA"/>
        </w:rPr>
        <w:t xml:space="preserve">provided in a table in the annex of the regulation. Separate specifications for 2′-FL </w:t>
      </w:r>
      <w:r w:rsidR="001933FC">
        <w:rPr>
          <w:lang w:eastAsia="en-AU" w:bidi="ar-SA"/>
        </w:rPr>
        <w:t>derived from</w:t>
      </w:r>
      <w:r w:rsidRPr="00DD4C88">
        <w:rPr>
          <w:lang w:eastAsia="en-AU" w:bidi="ar-SA"/>
        </w:rPr>
        <w:t xml:space="preserve"> </w:t>
      </w:r>
      <w:r w:rsidRPr="00DD4C88">
        <w:rPr>
          <w:i/>
          <w:lang w:eastAsia="en-AU" w:bidi="ar-SA"/>
        </w:rPr>
        <w:t>E. coli</w:t>
      </w:r>
      <w:r w:rsidRPr="00DD4C88">
        <w:rPr>
          <w:lang w:eastAsia="en-AU" w:bidi="ar-SA"/>
        </w:rPr>
        <w:t xml:space="preserve"> BL21 are set out in the same annex.</w:t>
      </w:r>
    </w:p>
    <w:p w14:paraId="24726E22" w14:textId="5C5A81CE" w:rsidR="00955B6C" w:rsidRPr="00DE5CC1" w:rsidRDefault="00955B6C" w:rsidP="00DE5CC1">
      <w:pPr>
        <w:pStyle w:val="Heading2"/>
      </w:pPr>
      <w:bookmarkStart w:id="48" w:name="_Toc100402945"/>
      <w:r w:rsidRPr="00DE5CC1">
        <w:t>1.4</w:t>
      </w:r>
      <w:r w:rsidRPr="00DE5CC1">
        <w:tab/>
        <w:t xml:space="preserve">Reasons for accepting </w:t>
      </w:r>
      <w:r w:rsidR="00DD4C88">
        <w:t xml:space="preserve">the </w:t>
      </w:r>
      <w:bookmarkEnd w:id="46"/>
      <w:bookmarkEnd w:id="47"/>
      <w:r w:rsidR="00A36BDE">
        <w:t>a</w:t>
      </w:r>
      <w:r w:rsidR="00A36BDE" w:rsidRPr="00DE5CC1">
        <w:t>pplication</w:t>
      </w:r>
      <w:bookmarkEnd w:id="48"/>
    </w:p>
    <w:p w14:paraId="1FC49FFC" w14:textId="77777777" w:rsidR="00DD4C88" w:rsidRPr="00DD4C88" w:rsidRDefault="00DD4C88" w:rsidP="00DD4C88">
      <w:bookmarkStart w:id="49" w:name="_Toc73104822"/>
      <w:bookmarkStart w:id="50" w:name="_Toc77338769"/>
      <w:r w:rsidRPr="00DD4C88">
        <w:t>The application was accepted for assessment because:</w:t>
      </w:r>
    </w:p>
    <w:p w14:paraId="553A5CCA" w14:textId="77777777" w:rsidR="00DD4C88" w:rsidRPr="00DD4C88" w:rsidRDefault="00DD4C88" w:rsidP="00DD4C88">
      <w:pPr>
        <w:pStyle w:val="FSBullet1"/>
      </w:pPr>
      <w:r w:rsidRPr="00DD4C88">
        <w:t xml:space="preserve">it complied with the procedural requirements under subsection 22(2) of the </w:t>
      </w:r>
      <w:r w:rsidRPr="00DD4C88">
        <w:rPr>
          <w:i/>
        </w:rPr>
        <w:t xml:space="preserve">Food Standards Australia New Zealand Act 1991 </w:t>
      </w:r>
      <w:r w:rsidRPr="00DD4C88">
        <w:t>(FSANZ Act)</w:t>
      </w:r>
    </w:p>
    <w:p w14:paraId="3B068DD8" w14:textId="77777777" w:rsidR="00DD4C88" w:rsidRPr="00DD4C88" w:rsidRDefault="00DD4C88" w:rsidP="00DD4C88">
      <w:pPr>
        <w:pStyle w:val="FSBullet1"/>
      </w:pPr>
      <w:r w:rsidRPr="00DD4C88">
        <w:t>it related to a matter that warranted the variation of a food regulatory measure.</w:t>
      </w:r>
    </w:p>
    <w:p w14:paraId="0FE72BC5" w14:textId="77777777" w:rsidR="00955B6C" w:rsidRPr="00DE5CC1" w:rsidRDefault="00955B6C" w:rsidP="00DE5CC1">
      <w:pPr>
        <w:pStyle w:val="Heading2"/>
      </w:pPr>
      <w:bookmarkStart w:id="51" w:name="_Toc100402946"/>
      <w:r w:rsidRPr="00DE5CC1">
        <w:t>1.5</w:t>
      </w:r>
      <w:r w:rsidRPr="00DE5CC1">
        <w:tab/>
        <w:t>Procedure for assessment</w:t>
      </w:r>
      <w:bookmarkEnd w:id="49"/>
      <w:bookmarkEnd w:id="50"/>
      <w:bookmarkEnd w:id="51"/>
    </w:p>
    <w:p w14:paraId="3286D233" w14:textId="063B9269" w:rsidR="00955B6C" w:rsidRDefault="005F1E79" w:rsidP="00510B7A">
      <w:pPr>
        <w:widowControl/>
        <w:spacing w:before="120" w:after="120"/>
      </w:pPr>
      <w:r>
        <w:t xml:space="preserve">The </w:t>
      </w:r>
      <w:r w:rsidR="00C969C9">
        <w:t>application</w:t>
      </w:r>
      <w:r w:rsidR="00C969C9" w:rsidRPr="00855CA8">
        <w:t xml:space="preserve"> </w:t>
      </w:r>
      <w:r w:rsidR="00BF001D">
        <w:t>was</w:t>
      </w:r>
      <w:r w:rsidR="00955B6C" w:rsidRPr="00855CA8">
        <w:t xml:space="preserve"> assessed under the General Procedure</w:t>
      </w:r>
      <w:r w:rsidR="00955B6C" w:rsidRPr="00932F14">
        <w:t>.</w:t>
      </w:r>
    </w:p>
    <w:p w14:paraId="7762FA90" w14:textId="77777777" w:rsidR="00422EC9" w:rsidRPr="00DE5CC1" w:rsidRDefault="007A53BF" w:rsidP="00DE5CC1">
      <w:pPr>
        <w:pStyle w:val="Heading2"/>
      </w:pPr>
      <w:bookmarkStart w:id="52" w:name="_Toc100402947"/>
      <w:r w:rsidRPr="00DE5CC1">
        <w:t>1</w:t>
      </w:r>
      <w:r w:rsidR="00422EC9" w:rsidRPr="00DE5CC1">
        <w:t>.6</w:t>
      </w:r>
      <w:r w:rsidR="00422EC9" w:rsidRPr="00DE5CC1">
        <w:tab/>
        <w:t>Decision</w:t>
      </w:r>
      <w:bookmarkEnd w:id="52"/>
    </w:p>
    <w:p w14:paraId="71ABD1B4" w14:textId="501B206D" w:rsidR="00853663" w:rsidRDefault="00955B6C" w:rsidP="00853663">
      <w:pPr>
        <w:spacing w:before="120" w:after="120"/>
      </w:pPr>
      <w:r>
        <w:t xml:space="preserve">The draft </w:t>
      </w:r>
      <w:r w:rsidRPr="0003146A">
        <w:t xml:space="preserve">variation </w:t>
      </w:r>
      <w:r>
        <w:t xml:space="preserve">as proposed following assessment </w:t>
      </w:r>
      <w:r w:rsidR="001723C9">
        <w:t>was approved with amendments</w:t>
      </w:r>
      <w:r w:rsidR="00C969C9">
        <w:t xml:space="preserve">. </w:t>
      </w:r>
      <w:r w:rsidR="00853663">
        <w:t xml:space="preserve">The amendments </w:t>
      </w:r>
      <w:r w:rsidR="001723C9">
        <w:t xml:space="preserve">were </w:t>
      </w:r>
      <w:r w:rsidR="00853663">
        <w:t xml:space="preserve">to </w:t>
      </w:r>
      <w:r w:rsidR="001723C9">
        <w:t xml:space="preserve">consolidate two separate specifications for host organism </w:t>
      </w:r>
      <w:r w:rsidR="001723C9">
        <w:rPr>
          <w:i/>
        </w:rPr>
        <w:t xml:space="preserve">E. coli K-12 </w:t>
      </w:r>
      <w:r w:rsidR="001723C9">
        <w:t xml:space="preserve">into one </w:t>
      </w:r>
      <w:r w:rsidR="00853663">
        <w:t xml:space="preserve">new </w:t>
      </w:r>
      <w:r w:rsidR="001723C9">
        <w:t xml:space="preserve">specification </w:t>
      </w:r>
      <w:r w:rsidR="00853663">
        <w:t xml:space="preserve">in Schedule 3 of the Code </w:t>
      </w:r>
      <w:r w:rsidR="001723C9">
        <w:t xml:space="preserve">that lists permitted </w:t>
      </w:r>
      <w:r w:rsidR="002C4747">
        <w:t xml:space="preserve">sources to the </w:t>
      </w:r>
      <w:r w:rsidR="001723C9">
        <w:t>gene-donor</w:t>
      </w:r>
      <w:r w:rsidR="002C4747">
        <w:t xml:space="preserve"> level</w:t>
      </w:r>
      <w:r>
        <w:t xml:space="preserve">. </w:t>
      </w:r>
      <w:r w:rsidR="00D37117">
        <w:t xml:space="preserve">Specifically, </w:t>
      </w:r>
      <w:r w:rsidR="00853663">
        <w:t xml:space="preserve">the amendments will repeal </w:t>
      </w:r>
      <w:r w:rsidR="00D37117">
        <w:t xml:space="preserve">section S3—40 </w:t>
      </w:r>
      <w:r w:rsidR="00D37117" w:rsidRPr="00913EA7">
        <w:rPr>
          <w:i/>
        </w:rPr>
        <w:t xml:space="preserve">Specification for 2′-fucosyllactose sourced from </w:t>
      </w:r>
      <w:r w:rsidR="00D37117" w:rsidRPr="00D37117">
        <w:t>Escherichia coli</w:t>
      </w:r>
      <w:r w:rsidR="00D37117" w:rsidRPr="00913EA7">
        <w:rPr>
          <w:i/>
        </w:rPr>
        <w:t xml:space="preserve"> K-12</w:t>
      </w:r>
      <w:r w:rsidR="00D37117">
        <w:t xml:space="preserve"> </w:t>
      </w:r>
      <w:r w:rsidR="00853663">
        <w:t xml:space="preserve">and </w:t>
      </w:r>
      <w:r w:rsidR="00822A8E">
        <w:t xml:space="preserve">substitute </w:t>
      </w:r>
      <w:r w:rsidR="00853663">
        <w:t xml:space="preserve">it </w:t>
      </w:r>
      <w:r w:rsidR="00822A8E">
        <w:t xml:space="preserve">with a </w:t>
      </w:r>
      <w:r w:rsidR="00D37117">
        <w:t xml:space="preserve">new </w:t>
      </w:r>
      <w:r w:rsidR="00853663">
        <w:t xml:space="preserve">section and </w:t>
      </w:r>
      <w:r w:rsidR="00D37117">
        <w:t xml:space="preserve">specification </w:t>
      </w:r>
      <w:r w:rsidR="00822A8E">
        <w:t xml:space="preserve">containing </w:t>
      </w:r>
      <w:r w:rsidR="00D37117">
        <w:t xml:space="preserve">parameters </w:t>
      </w:r>
      <w:r w:rsidR="00822A8E">
        <w:t>consistent with the 2019 EU specification</w:t>
      </w:r>
      <w:r w:rsidR="00D37117">
        <w:t xml:space="preserve"> for </w:t>
      </w:r>
      <w:r w:rsidR="00822A8E" w:rsidRPr="00296F37">
        <w:rPr>
          <w:szCs w:val="22"/>
          <w:lang w:bidi="ar-SA"/>
        </w:rPr>
        <w:t>2′-FL</w:t>
      </w:r>
      <w:r w:rsidR="00822A8E">
        <w:rPr>
          <w:szCs w:val="22"/>
          <w:lang w:bidi="ar-SA"/>
        </w:rPr>
        <w:t xml:space="preserve"> </w:t>
      </w:r>
      <w:r w:rsidR="001933FC">
        <w:rPr>
          <w:szCs w:val="22"/>
          <w:lang w:bidi="ar-SA"/>
        </w:rPr>
        <w:t>derived from</w:t>
      </w:r>
      <w:r w:rsidR="00822A8E">
        <w:rPr>
          <w:szCs w:val="22"/>
          <w:lang w:bidi="ar-SA"/>
        </w:rPr>
        <w:t xml:space="preserve"> </w:t>
      </w:r>
      <w:r w:rsidR="00822A8E">
        <w:rPr>
          <w:i/>
        </w:rPr>
        <w:t xml:space="preserve">E. coli </w:t>
      </w:r>
      <w:r w:rsidR="00822A8E">
        <w:t xml:space="preserve">K-12. This </w:t>
      </w:r>
      <w:r w:rsidR="00853663">
        <w:t xml:space="preserve">new specification will </w:t>
      </w:r>
      <w:r w:rsidR="00822A8E">
        <w:t>appl</w:t>
      </w:r>
      <w:r w:rsidR="00853663">
        <w:t>y</w:t>
      </w:r>
      <w:r w:rsidR="00822A8E">
        <w:t xml:space="preserve"> to </w:t>
      </w:r>
      <w:r w:rsidR="00D37117">
        <w:t xml:space="preserve">all forms of </w:t>
      </w:r>
      <w:r w:rsidR="00853663" w:rsidRPr="00296F37">
        <w:rPr>
          <w:szCs w:val="22"/>
          <w:lang w:bidi="ar-SA"/>
        </w:rPr>
        <w:t>2′-FL</w:t>
      </w:r>
      <w:r w:rsidR="00853663">
        <w:rPr>
          <w:szCs w:val="22"/>
          <w:lang w:bidi="ar-SA"/>
        </w:rPr>
        <w:t xml:space="preserve"> derived from </w:t>
      </w:r>
      <w:r w:rsidR="00853663">
        <w:rPr>
          <w:i/>
        </w:rPr>
        <w:t xml:space="preserve">E. coli </w:t>
      </w:r>
      <w:r w:rsidR="00853663">
        <w:t xml:space="preserve">K-12 </w:t>
      </w:r>
      <w:r w:rsidR="00A00CE5">
        <w:t xml:space="preserve">containing the gene </w:t>
      </w:r>
      <w:r w:rsidR="00A00CE5" w:rsidRPr="009D1E8F">
        <w:t xml:space="preserve">for alpha-1,2-fucosyltransferase </w:t>
      </w:r>
      <w:r w:rsidR="00A00CE5">
        <w:t xml:space="preserve">from either </w:t>
      </w:r>
      <w:r w:rsidR="00A00CE5">
        <w:rPr>
          <w:i/>
        </w:rPr>
        <w:t xml:space="preserve">Helicobacter pylori </w:t>
      </w:r>
      <w:r w:rsidR="00A00CE5">
        <w:t xml:space="preserve">or </w:t>
      </w:r>
      <w:r w:rsidR="00A00CE5">
        <w:rPr>
          <w:i/>
        </w:rPr>
        <w:t xml:space="preserve">Bacteroides vulgatus </w:t>
      </w:r>
      <w:r w:rsidR="00A00CE5" w:rsidRPr="00EA59BB">
        <w:t>and</w:t>
      </w:r>
      <w:r w:rsidR="00A00CE5" w:rsidDel="00853663">
        <w:rPr>
          <w:i/>
        </w:rPr>
        <w:t xml:space="preserve"> </w:t>
      </w:r>
      <w:r w:rsidR="00D37117">
        <w:t xml:space="preserve">permitted by Schedule 26. </w:t>
      </w:r>
      <w:r w:rsidR="00853663" w:rsidRPr="003A7725">
        <w:t xml:space="preserve">The </w:t>
      </w:r>
      <w:r w:rsidR="00853663" w:rsidRPr="0003146A">
        <w:t>variation</w:t>
      </w:r>
      <w:r w:rsidR="00853663">
        <w:t xml:space="preserve"> </w:t>
      </w:r>
      <w:r w:rsidR="00853663" w:rsidRPr="00D26814">
        <w:t>takes effect on</w:t>
      </w:r>
      <w:r w:rsidR="00853663">
        <w:t xml:space="preserve"> </w:t>
      </w:r>
      <w:r w:rsidR="00853663">
        <w:lastRenderedPageBreak/>
        <w:t xml:space="preserve">Gazettal. The approved draft </w:t>
      </w:r>
      <w:r w:rsidR="00853663" w:rsidRPr="0003146A">
        <w:t>variation</w:t>
      </w:r>
      <w:r w:rsidR="00853663">
        <w:t xml:space="preserve"> is at </w:t>
      </w:r>
      <w:r w:rsidR="00853663" w:rsidRPr="007C22CB">
        <w:t xml:space="preserve">Attachment A. </w:t>
      </w:r>
    </w:p>
    <w:p w14:paraId="6798D8A7" w14:textId="77777777" w:rsidR="00853663" w:rsidRPr="00510B7A" w:rsidRDefault="00853663" w:rsidP="00853663">
      <w:pPr>
        <w:spacing w:before="120" w:after="120"/>
      </w:pPr>
      <w:r>
        <w:t xml:space="preserve">The related explanatory statement is at Attachment B. An </w:t>
      </w:r>
      <w:r w:rsidRPr="00D26814">
        <w:t xml:space="preserve">explanatory statement is required to accompany </w:t>
      </w:r>
      <w:r>
        <w:t>an</w:t>
      </w:r>
      <w:r w:rsidRPr="00D26814">
        <w:t xml:space="preserve"> instrument </w:t>
      </w:r>
      <w:r>
        <w:t>if it is</w:t>
      </w:r>
      <w:r w:rsidRPr="00D26814">
        <w:t xml:space="preserve"> lodged on the Federal Register of Legislati</w:t>
      </w:r>
      <w:r>
        <w:t xml:space="preserve">on. </w:t>
      </w:r>
    </w:p>
    <w:p w14:paraId="718FF67F" w14:textId="0B6278DC" w:rsidR="000B74E8" w:rsidRDefault="00853663" w:rsidP="00EA59BB">
      <w:pPr>
        <w:spacing w:before="120" w:after="120"/>
        <w:sectPr w:rsidR="000B74E8" w:rsidSect="00BB7D89">
          <w:pgSz w:w="11906" w:h="16838" w:code="9"/>
          <w:pgMar w:top="1418" w:right="1418" w:bottom="1418" w:left="1418" w:header="709" w:footer="709" w:gutter="0"/>
          <w:cols w:space="708"/>
          <w:docGrid w:linePitch="360"/>
        </w:sectPr>
      </w:pPr>
      <w:r w:rsidRPr="00955B6C">
        <w:t>The draft variation on which submissions were sought is at Attachment C</w:t>
      </w:r>
      <w:r>
        <w:t>.</w:t>
      </w:r>
      <w:r w:rsidR="000B74E8">
        <w:br w:type="page"/>
      </w:r>
    </w:p>
    <w:p w14:paraId="0B6B8474" w14:textId="77777777" w:rsidR="0012388D" w:rsidRPr="00DE5CC1" w:rsidRDefault="007A53BF" w:rsidP="00DE5CC1">
      <w:pPr>
        <w:pStyle w:val="Heading1"/>
      </w:pPr>
      <w:bookmarkStart w:id="53" w:name="_Toc100402948"/>
      <w:bookmarkStart w:id="54" w:name="_Toc11735630"/>
      <w:bookmarkStart w:id="55" w:name="_Toc29883114"/>
      <w:bookmarkStart w:id="56" w:name="_Toc41906801"/>
      <w:bookmarkStart w:id="57" w:name="_Toc41907548"/>
      <w:bookmarkStart w:id="58" w:name="_Toc120358578"/>
      <w:bookmarkStart w:id="59" w:name="_Toc175381435"/>
      <w:bookmarkEnd w:id="5"/>
      <w:bookmarkEnd w:id="6"/>
      <w:bookmarkEnd w:id="7"/>
      <w:bookmarkEnd w:id="8"/>
      <w:bookmarkEnd w:id="9"/>
      <w:r w:rsidRPr="00DE5CC1">
        <w:lastRenderedPageBreak/>
        <w:t>2</w:t>
      </w:r>
      <w:r w:rsidR="00AC428E" w:rsidRPr="00DE5CC1">
        <w:tab/>
      </w:r>
      <w:r w:rsidR="00AF387F" w:rsidRPr="00DE5CC1">
        <w:t>Summary of the findings</w:t>
      </w:r>
      <w:bookmarkEnd w:id="53"/>
    </w:p>
    <w:p w14:paraId="36C513E2" w14:textId="1D0E49AD" w:rsidR="007A53BF" w:rsidRDefault="007A53BF" w:rsidP="00DE5CC1">
      <w:pPr>
        <w:pStyle w:val="Heading2"/>
      </w:pPr>
      <w:bookmarkStart w:id="60" w:name="_Toc300933438"/>
      <w:bookmarkStart w:id="61" w:name="_Toc370223471"/>
      <w:bookmarkStart w:id="62" w:name="_Toc370225386"/>
      <w:bookmarkStart w:id="63" w:name="_Toc100402949"/>
      <w:bookmarkStart w:id="64" w:name="_Toc286391009"/>
      <w:bookmarkStart w:id="65" w:name="_Toc300933425"/>
      <w:bookmarkStart w:id="66" w:name="_Toc309291838"/>
      <w:bookmarkStart w:id="67" w:name="_Toc309385455"/>
      <w:bookmarkStart w:id="68" w:name="_Toc120358583"/>
      <w:bookmarkStart w:id="69" w:name="_Toc175381440"/>
      <w:r w:rsidRPr="00DE5CC1">
        <w:t>2.1</w:t>
      </w:r>
      <w:r w:rsidRPr="00DE5CC1">
        <w:tab/>
        <w:t xml:space="preserve">Summary of issues raised </w:t>
      </w:r>
      <w:bookmarkEnd w:id="60"/>
      <w:r w:rsidRPr="00DE5CC1">
        <w:t>in submissions</w:t>
      </w:r>
      <w:bookmarkEnd w:id="61"/>
      <w:bookmarkEnd w:id="62"/>
      <w:bookmarkEnd w:id="63"/>
    </w:p>
    <w:p w14:paraId="0C4BA365" w14:textId="5F07D8E6" w:rsidR="00296F37" w:rsidRPr="00296F37" w:rsidRDefault="00296F37" w:rsidP="00296F37">
      <w:pPr>
        <w:widowControl/>
        <w:spacing w:before="120" w:after="120"/>
        <w:rPr>
          <w:rFonts w:eastAsia="Calibri"/>
          <w:szCs w:val="22"/>
          <w:lang w:bidi="ar-SA"/>
        </w:rPr>
      </w:pPr>
      <w:r w:rsidRPr="00296F37">
        <w:rPr>
          <w:rFonts w:eastAsia="Calibri"/>
          <w:szCs w:val="22"/>
          <w:lang w:bidi="ar-SA"/>
        </w:rPr>
        <w:t xml:space="preserve">FSANZ received </w:t>
      </w:r>
      <w:r w:rsidR="00FE1957">
        <w:rPr>
          <w:rFonts w:eastAsia="Calibri"/>
          <w:szCs w:val="22"/>
          <w:lang w:bidi="ar-SA"/>
        </w:rPr>
        <w:t>eight</w:t>
      </w:r>
      <w:r w:rsidRPr="00296F37">
        <w:rPr>
          <w:rFonts w:eastAsia="Calibri"/>
          <w:szCs w:val="22"/>
          <w:lang w:bidi="ar-SA"/>
        </w:rPr>
        <w:t xml:space="preserve"> submissions during the A1233 call for submissions period.</w:t>
      </w:r>
      <w:r w:rsidR="00FE1957">
        <w:rPr>
          <w:rFonts w:eastAsia="Calibri"/>
          <w:szCs w:val="22"/>
          <w:lang w:bidi="ar-SA"/>
        </w:rPr>
        <w:t xml:space="preserve"> Three</w:t>
      </w:r>
      <w:r w:rsidRPr="00296F37" w:rsidDel="00FE1957">
        <w:rPr>
          <w:rFonts w:eastAsia="Calibri"/>
          <w:szCs w:val="22"/>
          <w:lang w:bidi="ar-SA"/>
        </w:rPr>
        <w:t xml:space="preserve"> </w:t>
      </w:r>
      <w:r w:rsidRPr="00296F37">
        <w:rPr>
          <w:rFonts w:eastAsia="Calibri"/>
          <w:szCs w:val="22"/>
          <w:lang w:bidi="ar-SA"/>
        </w:rPr>
        <w:t xml:space="preserve">submissions were from </w:t>
      </w:r>
      <w:r w:rsidR="002448AA">
        <w:rPr>
          <w:rFonts w:eastAsia="Calibri"/>
          <w:szCs w:val="22"/>
          <w:lang w:bidi="ar-SA"/>
        </w:rPr>
        <w:t>i</w:t>
      </w:r>
      <w:r w:rsidR="002448AA" w:rsidRPr="00296F37">
        <w:rPr>
          <w:rFonts w:eastAsia="Calibri"/>
          <w:szCs w:val="22"/>
          <w:lang w:bidi="ar-SA"/>
        </w:rPr>
        <w:t>ndustry</w:t>
      </w:r>
      <w:r w:rsidRPr="00296F37">
        <w:rPr>
          <w:rFonts w:eastAsia="Calibri"/>
          <w:szCs w:val="22"/>
          <w:lang w:bidi="ar-SA"/>
        </w:rPr>
        <w:t xml:space="preserve">, </w:t>
      </w:r>
      <w:r w:rsidR="00FE1957">
        <w:rPr>
          <w:rFonts w:eastAsia="Calibri"/>
          <w:szCs w:val="22"/>
          <w:lang w:bidi="ar-SA"/>
        </w:rPr>
        <w:t>three</w:t>
      </w:r>
      <w:r w:rsidRPr="00296F37">
        <w:rPr>
          <w:rFonts w:eastAsia="Calibri"/>
          <w:szCs w:val="22"/>
          <w:lang w:bidi="ar-SA"/>
        </w:rPr>
        <w:t xml:space="preserve"> from industry representative bodies and </w:t>
      </w:r>
      <w:r w:rsidR="00FE1957">
        <w:rPr>
          <w:rFonts w:eastAsia="Calibri"/>
          <w:szCs w:val="22"/>
          <w:lang w:bidi="ar-SA"/>
        </w:rPr>
        <w:t>two</w:t>
      </w:r>
      <w:r w:rsidRPr="00296F37">
        <w:rPr>
          <w:rFonts w:eastAsia="Calibri"/>
          <w:szCs w:val="22"/>
          <w:lang w:bidi="ar-SA"/>
        </w:rPr>
        <w:t xml:space="preserve"> from </w:t>
      </w:r>
      <w:r w:rsidR="002448AA">
        <w:rPr>
          <w:rFonts w:eastAsia="Calibri"/>
          <w:szCs w:val="22"/>
          <w:lang w:bidi="ar-SA"/>
        </w:rPr>
        <w:t>j</w:t>
      </w:r>
      <w:r w:rsidRPr="00296F37">
        <w:rPr>
          <w:rFonts w:eastAsia="Calibri"/>
          <w:szCs w:val="22"/>
          <w:lang w:bidi="ar-SA"/>
        </w:rPr>
        <w:t xml:space="preserve">urisdictions. </w:t>
      </w:r>
    </w:p>
    <w:p w14:paraId="4CC80141" w14:textId="61267ED1" w:rsidR="00296F37" w:rsidRPr="00296F37" w:rsidRDefault="00296F37" w:rsidP="008E6FE4">
      <w:pPr>
        <w:widowControl/>
        <w:numPr>
          <w:ilvl w:val="0"/>
          <w:numId w:val="18"/>
        </w:numPr>
        <w:spacing w:before="120" w:after="120"/>
        <w:contextualSpacing/>
        <w:rPr>
          <w:rFonts w:eastAsia="Calibri"/>
          <w:szCs w:val="22"/>
          <w:lang w:bidi="ar-SA"/>
        </w:rPr>
      </w:pPr>
      <w:r w:rsidRPr="00296F37">
        <w:rPr>
          <w:rFonts w:eastAsia="Calibri"/>
          <w:szCs w:val="22"/>
          <w:lang w:bidi="ar-SA"/>
        </w:rPr>
        <w:t xml:space="preserve">All submissions support a permission to add 2′-FL derived from </w:t>
      </w:r>
      <w:r w:rsidR="00DE31E2" w:rsidRPr="00EF5027">
        <w:rPr>
          <w:rFonts w:eastAsia="Calibri"/>
          <w:szCs w:val="22"/>
          <w:lang w:bidi="ar-SA"/>
        </w:rPr>
        <w:t>the production strain</w:t>
      </w:r>
      <w:r w:rsidRPr="00DE31E2">
        <w:rPr>
          <w:rFonts w:eastAsia="Calibri"/>
          <w:szCs w:val="22"/>
          <w:lang w:bidi="ar-SA"/>
        </w:rPr>
        <w:t xml:space="preserve"> </w:t>
      </w:r>
      <w:r w:rsidRPr="00296F37">
        <w:rPr>
          <w:rFonts w:eastAsia="Calibri"/>
          <w:szCs w:val="22"/>
          <w:lang w:bidi="ar-SA"/>
        </w:rPr>
        <w:t>to IFP</w:t>
      </w:r>
      <w:r w:rsidR="00EF5027">
        <w:rPr>
          <w:rFonts w:eastAsia="Calibri"/>
          <w:szCs w:val="22"/>
          <w:lang w:bidi="ar-SA"/>
        </w:rPr>
        <w:t>.</w:t>
      </w:r>
    </w:p>
    <w:p w14:paraId="2FE4F0DB" w14:textId="563A8F53" w:rsidR="00296F37" w:rsidRPr="00296F37" w:rsidRDefault="00296F37" w:rsidP="008E6FE4">
      <w:pPr>
        <w:widowControl/>
        <w:numPr>
          <w:ilvl w:val="0"/>
          <w:numId w:val="18"/>
        </w:numPr>
        <w:spacing w:before="120" w:after="120"/>
        <w:contextualSpacing/>
        <w:rPr>
          <w:rFonts w:eastAsia="Calibri"/>
          <w:szCs w:val="22"/>
          <w:lang w:bidi="ar-SA"/>
        </w:rPr>
      </w:pPr>
      <w:r w:rsidRPr="00296F37">
        <w:rPr>
          <w:rFonts w:eastAsia="Calibri"/>
          <w:szCs w:val="22"/>
          <w:lang w:bidi="ar-SA"/>
        </w:rPr>
        <w:t>Submitters raised no issues with the FSANZ safety assessment</w:t>
      </w:r>
      <w:r w:rsidR="00EF5027">
        <w:rPr>
          <w:rFonts w:eastAsia="Calibri"/>
          <w:szCs w:val="22"/>
          <w:lang w:bidi="ar-SA"/>
        </w:rPr>
        <w:t>.</w:t>
      </w:r>
    </w:p>
    <w:p w14:paraId="7CF8DE04" w14:textId="10548980" w:rsidR="00296F37" w:rsidRPr="00296F37" w:rsidRDefault="00296F37" w:rsidP="008E6FE4">
      <w:pPr>
        <w:widowControl/>
        <w:numPr>
          <w:ilvl w:val="0"/>
          <w:numId w:val="18"/>
        </w:numPr>
        <w:spacing w:before="120" w:after="120"/>
        <w:contextualSpacing/>
        <w:rPr>
          <w:rFonts w:eastAsia="Calibri"/>
          <w:szCs w:val="22"/>
          <w:lang w:bidi="ar-SA"/>
        </w:rPr>
      </w:pPr>
      <w:r w:rsidRPr="00296F37">
        <w:rPr>
          <w:rFonts w:eastAsia="Calibri"/>
          <w:szCs w:val="22"/>
          <w:lang w:bidi="ar-SA"/>
        </w:rPr>
        <w:t xml:space="preserve">Submitters raised no issue with giving the </w:t>
      </w:r>
      <w:r w:rsidR="00DF6DB2">
        <w:rPr>
          <w:rFonts w:eastAsia="Calibri"/>
          <w:szCs w:val="22"/>
          <w:lang w:bidi="ar-SA"/>
        </w:rPr>
        <w:t>applicant</w:t>
      </w:r>
      <w:r w:rsidRPr="00296F37">
        <w:rPr>
          <w:rFonts w:eastAsia="Calibri"/>
          <w:szCs w:val="22"/>
          <w:lang w:bidi="ar-SA"/>
        </w:rPr>
        <w:t xml:space="preserve"> exclusivity</w:t>
      </w:r>
      <w:r w:rsidR="00EF5027">
        <w:rPr>
          <w:rFonts w:eastAsia="Calibri"/>
          <w:szCs w:val="22"/>
          <w:lang w:bidi="ar-SA"/>
        </w:rPr>
        <w:t>.</w:t>
      </w:r>
    </w:p>
    <w:p w14:paraId="726A4533" w14:textId="58D3A0FA" w:rsidR="00296F37" w:rsidRPr="00296F37" w:rsidRDefault="00296F37" w:rsidP="008E6FE4">
      <w:pPr>
        <w:widowControl/>
        <w:numPr>
          <w:ilvl w:val="0"/>
          <w:numId w:val="18"/>
        </w:numPr>
        <w:spacing w:before="120" w:after="120"/>
        <w:contextualSpacing/>
        <w:rPr>
          <w:rFonts w:eastAsia="Calibri"/>
          <w:szCs w:val="22"/>
          <w:lang w:bidi="ar-SA"/>
        </w:rPr>
      </w:pPr>
      <w:r w:rsidRPr="00296F37">
        <w:rPr>
          <w:rFonts w:eastAsia="Calibri"/>
          <w:szCs w:val="22"/>
          <w:lang w:bidi="ar-SA"/>
        </w:rPr>
        <w:t xml:space="preserve">Submission from </w:t>
      </w:r>
      <w:r w:rsidR="002448AA">
        <w:rPr>
          <w:rFonts w:eastAsia="Calibri"/>
          <w:szCs w:val="22"/>
          <w:lang w:bidi="ar-SA"/>
        </w:rPr>
        <w:t>j</w:t>
      </w:r>
      <w:r w:rsidR="002448AA" w:rsidRPr="00296F37">
        <w:rPr>
          <w:rFonts w:eastAsia="Calibri"/>
          <w:szCs w:val="22"/>
          <w:lang w:bidi="ar-SA"/>
        </w:rPr>
        <w:t xml:space="preserve">urisdictions </w:t>
      </w:r>
      <w:r w:rsidRPr="00296F37">
        <w:rPr>
          <w:rFonts w:eastAsia="Calibri"/>
          <w:szCs w:val="22"/>
          <w:lang w:bidi="ar-SA"/>
        </w:rPr>
        <w:t>noted and supported the approach to risk management</w:t>
      </w:r>
      <w:r w:rsidR="00EF5027">
        <w:rPr>
          <w:rFonts w:eastAsia="Calibri"/>
          <w:szCs w:val="22"/>
          <w:lang w:bidi="ar-SA"/>
        </w:rPr>
        <w:t>.</w:t>
      </w:r>
    </w:p>
    <w:p w14:paraId="71ED9835" w14:textId="5798D47D" w:rsidR="00296F37" w:rsidRPr="00296F37" w:rsidRDefault="00296F37" w:rsidP="008E6FE4">
      <w:pPr>
        <w:widowControl/>
        <w:numPr>
          <w:ilvl w:val="0"/>
          <w:numId w:val="18"/>
        </w:numPr>
        <w:spacing w:before="120" w:after="120"/>
        <w:ind w:left="714" w:hanging="357"/>
        <w:rPr>
          <w:rFonts w:eastAsia="Calibri"/>
          <w:szCs w:val="22"/>
          <w:lang w:bidi="ar-SA"/>
        </w:rPr>
      </w:pPr>
      <w:r w:rsidRPr="00296F37">
        <w:rPr>
          <w:rFonts w:eastAsia="Calibri"/>
          <w:szCs w:val="22"/>
          <w:lang w:bidi="ar-SA"/>
        </w:rPr>
        <w:t xml:space="preserve">Submissions from </w:t>
      </w:r>
      <w:r w:rsidR="002448AA">
        <w:rPr>
          <w:rFonts w:eastAsia="Calibri"/>
          <w:szCs w:val="22"/>
          <w:lang w:bidi="ar-SA"/>
        </w:rPr>
        <w:t>i</w:t>
      </w:r>
      <w:r w:rsidR="002448AA" w:rsidRPr="00296F37">
        <w:rPr>
          <w:rFonts w:eastAsia="Calibri"/>
          <w:szCs w:val="22"/>
          <w:lang w:bidi="ar-SA"/>
        </w:rPr>
        <w:t xml:space="preserve">ndustry </w:t>
      </w:r>
      <w:r w:rsidRPr="00296F37">
        <w:rPr>
          <w:rFonts w:eastAsia="Calibri"/>
          <w:szCs w:val="22"/>
          <w:lang w:bidi="ar-SA"/>
        </w:rPr>
        <w:t xml:space="preserve">and </w:t>
      </w:r>
      <w:r w:rsidR="002448AA">
        <w:rPr>
          <w:rFonts w:eastAsia="Calibri"/>
          <w:szCs w:val="22"/>
          <w:lang w:bidi="ar-SA"/>
        </w:rPr>
        <w:t>i</w:t>
      </w:r>
      <w:r w:rsidR="002448AA" w:rsidRPr="00296F37">
        <w:rPr>
          <w:rFonts w:eastAsia="Calibri"/>
          <w:szCs w:val="22"/>
          <w:lang w:bidi="ar-SA"/>
        </w:rPr>
        <w:t xml:space="preserve">ndustry </w:t>
      </w:r>
      <w:r w:rsidRPr="00296F37">
        <w:rPr>
          <w:rFonts w:eastAsia="Calibri"/>
          <w:szCs w:val="22"/>
          <w:lang w:bidi="ar-SA"/>
        </w:rPr>
        <w:t>representative</w:t>
      </w:r>
      <w:r w:rsidR="002448AA">
        <w:rPr>
          <w:rFonts w:eastAsia="Calibri"/>
          <w:szCs w:val="22"/>
          <w:lang w:bidi="ar-SA"/>
        </w:rPr>
        <w:t xml:space="preserve"> bodies</w:t>
      </w:r>
      <w:r w:rsidRPr="00296F37">
        <w:rPr>
          <w:rFonts w:eastAsia="Calibri"/>
          <w:szCs w:val="22"/>
          <w:lang w:bidi="ar-SA"/>
        </w:rPr>
        <w:t xml:space="preserve"> raised some issues with existing </w:t>
      </w:r>
      <w:r w:rsidR="008A7F4D">
        <w:rPr>
          <w:rFonts w:eastAsia="Calibri"/>
          <w:szCs w:val="22"/>
          <w:lang w:bidi="ar-SA"/>
        </w:rPr>
        <w:t xml:space="preserve">requirements </w:t>
      </w:r>
      <w:r w:rsidR="00240033">
        <w:rPr>
          <w:rFonts w:eastAsia="Calibri"/>
          <w:szCs w:val="22"/>
          <w:lang w:bidi="ar-SA"/>
        </w:rPr>
        <w:t xml:space="preserve">for oligosaccharides in infant formula products </w:t>
      </w:r>
      <w:r w:rsidRPr="00296F37">
        <w:rPr>
          <w:rFonts w:eastAsia="Calibri"/>
          <w:szCs w:val="22"/>
          <w:lang w:bidi="ar-SA"/>
        </w:rPr>
        <w:t xml:space="preserve">and the identity and specifications for 2′-FL derived from </w:t>
      </w:r>
      <w:r w:rsidR="00DE31E2" w:rsidRPr="00EF5027">
        <w:rPr>
          <w:rFonts w:eastAsia="Calibri"/>
          <w:szCs w:val="22"/>
          <w:lang w:bidi="ar-SA"/>
        </w:rPr>
        <w:t>the productions strain</w:t>
      </w:r>
      <w:r w:rsidR="00195E57">
        <w:rPr>
          <w:rFonts w:eastAsia="Calibri"/>
          <w:i/>
          <w:szCs w:val="22"/>
          <w:lang w:bidi="ar-SA"/>
        </w:rPr>
        <w:t>.</w:t>
      </w:r>
    </w:p>
    <w:p w14:paraId="42F50BA3" w14:textId="63108B02" w:rsidR="00296F37" w:rsidRPr="00296F37" w:rsidRDefault="00296F37" w:rsidP="00296F37">
      <w:pPr>
        <w:widowControl/>
        <w:spacing w:before="120" w:after="120"/>
        <w:rPr>
          <w:rFonts w:eastAsia="Calibri"/>
          <w:szCs w:val="22"/>
          <w:lang w:bidi="ar-SA"/>
        </w:rPr>
      </w:pPr>
      <w:r w:rsidRPr="00296F37">
        <w:rPr>
          <w:rFonts w:eastAsia="ArialMT"/>
          <w:szCs w:val="22"/>
          <w:lang w:bidi="ar-SA"/>
        </w:rPr>
        <w:t xml:space="preserve">Issues raised are summarised in Table </w:t>
      </w:r>
      <w:r w:rsidR="002448AA">
        <w:rPr>
          <w:rFonts w:eastAsia="ArialMT"/>
          <w:szCs w:val="22"/>
          <w:lang w:bidi="ar-SA"/>
        </w:rPr>
        <w:t>2</w:t>
      </w:r>
      <w:r w:rsidRPr="00296F37">
        <w:rPr>
          <w:rFonts w:eastAsia="ArialMT"/>
          <w:szCs w:val="22"/>
          <w:lang w:bidi="ar-SA"/>
        </w:rPr>
        <w:t>.</w:t>
      </w:r>
    </w:p>
    <w:p w14:paraId="4DCC32B9" w14:textId="0CB1ACE9" w:rsidR="00296F37" w:rsidRPr="00296F37" w:rsidRDefault="00296F37" w:rsidP="00296F37">
      <w:pPr>
        <w:keepNext/>
        <w:widowControl/>
        <w:spacing w:before="120" w:after="120"/>
        <w:rPr>
          <w:rFonts w:eastAsia="Calibri" w:cs="Arial"/>
          <w:b/>
          <w:szCs w:val="22"/>
          <w:lang w:bidi="ar-SA"/>
        </w:rPr>
      </w:pPr>
      <w:r w:rsidRPr="00296F37">
        <w:rPr>
          <w:rFonts w:eastAsia="Calibri" w:cs="Arial"/>
          <w:b/>
          <w:szCs w:val="22"/>
          <w:lang w:bidi="ar-SA"/>
        </w:rPr>
        <w:t xml:space="preserve">Table </w:t>
      </w:r>
      <w:r w:rsidR="002448AA">
        <w:rPr>
          <w:rFonts w:eastAsia="Calibri" w:cs="Arial"/>
          <w:b/>
          <w:szCs w:val="22"/>
          <w:lang w:bidi="ar-SA"/>
        </w:rPr>
        <w:t>2</w:t>
      </w:r>
      <w:r w:rsidRPr="00296F37">
        <w:rPr>
          <w:rFonts w:eastAsia="Calibri" w:cs="Arial"/>
          <w:b/>
          <w:szCs w:val="22"/>
          <w:lang w:bidi="ar-SA"/>
        </w:rPr>
        <w:t xml:space="preserve">: Summary of issues </w:t>
      </w:r>
    </w:p>
    <w:tbl>
      <w:tblPr>
        <w:tblStyle w:val="ListTable4-Accent3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5608"/>
        <w:gridCol w:w="1905"/>
        <w:gridCol w:w="5917"/>
      </w:tblGrid>
      <w:tr w:rsidR="00296F37" w:rsidRPr="00296F37" w14:paraId="3EF014ED" w14:textId="77777777" w:rsidTr="00296F37">
        <w:trPr>
          <w:cnfStyle w:val="100000000000" w:firstRow="1" w:lastRow="0" w:firstColumn="0" w:lastColumn="0" w:oddVBand="0" w:evenVBand="0" w:oddHBand="0" w:evenHBand="0" w:firstRowFirstColumn="0" w:firstRowLastColumn="0" w:lastRowFirstColumn="0" w:lastRowLastColumn="0"/>
          <w:trHeight w:val="346"/>
        </w:trPr>
        <w:tc>
          <w:tcPr>
            <w:tcW w:w="5608" w:type="dxa"/>
          </w:tcPr>
          <w:p w14:paraId="2DC2BA20" w14:textId="77777777" w:rsidR="00296F37" w:rsidRPr="00296F37" w:rsidRDefault="00296F37" w:rsidP="00296F37">
            <w:pPr>
              <w:widowControl/>
              <w:spacing w:before="120" w:after="120"/>
              <w:rPr>
                <w:szCs w:val="22"/>
                <w:lang w:bidi="ar-SA"/>
              </w:rPr>
            </w:pPr>
            <w:r w:rsidRPr="00296F37">
              <w:rPr>
                <w:szCs w:val="22"/>
                <w:lang w:bidi="ar-SA"/>
              </w:rPr>
              <w:t>Issue</w:t>
            </w:r>
          </w:p>
        </w:tc>
        <w:tc>
          <w:tcPr>
            <w:tcW w:w="1905" w:type="dxa"/>
          </w:tcPr>
          <w:p w14:paraId="226B2C14" w14:textId="77777777" w:rsidR="00296F37" w:rsidRPr="00296F37" w:rsidRDefault="00296F37" w:rsidP="00296F37">
            <w:pPr>
              <w:widowControl/>
              <w:spacing w:before="120" w:after="120"/>
              <w:rPr>
                <w:szCs w:val="22"/>
                <w:lang w:bidi="ar-SA"/>
              </w:rPr>
            </w:pPr>
            <w:r w:rsidRPr="00296F37">
              <w:rPr>
                <w:szCs w:val="22"/>
                <w:lang w:bidi="ar-SA"/>
              </w:rPr>
              <w:t>Raised by</w:t>
            </w:r>
          </w:p>
        </w:tc>
        <w:tc>
          <w:tcPr>
            <w:tcW w:w="5917" w:type="dxa"/>
          </w:tcPr>
          <w:p w14:paraId="0486B590" w14:textId="77777777" w:rsidR="00296F37" w:rsidRPr="00296F37" w:rsidRDefault="00296F37" w:rsidP="00296F37">
            <w:pPr>
              <w:widowControl/>
              <w:spacing w:before="120" w:after="120"/>
              <w:rPr>
                <w:szCs w:val="22"/>
                <w:lang w:bidi="ar-SA"/>
              </w:rPr>
            </w:pPr>
            <w:r w:rsidRPr="00296F37">
              <w:rPr>
                <w:szCs w:val="22"/>
                <w:lang w:bidi="ar-SA"/>
              </w:rPr>
              <w:t xml:space="preserve">FSANZ response </w:t>
            </w:r>
          </w:p>
        </w:tc>
      </w:tr>
      <w:tr w:rsidR="00296F37" w:rsidRPr="00296F37" w14:paraId="7C0AC6DA" w14:textId="77777777" w:rsidTr="00296F37">
        <w:trPr>
          <w:cnfStyle w:val="000000100000" w:firstRow="0" w:lastRow="0" w:firstColumn="0" w:lastColumn="0" w:oddVBand="0" w:evenVBand="0" w:oddHBand="1" w:evenHBand="0" w:firstRowFirstColumn="0" w:firstRowLastColumn="0" w:lastRowFirstColumn="0" w:lastRowLastColumn="0"/>
          <w:trHeight w:val="346"/>
        </w:trPr>
        <w:tc>
          <w:tcPr>
            <w:tcW w:w="5608" w:type="dxa"/>
          </w:tcPr>
          <w:p w14:paraId="1B5FAA1B" w14:textId="77777777" w:rsidR="00296F37" w:rsidRPr="00296F37" w:rsidRDefault="00296F37" w:rsidP="00296F37">
            <w:pPr>
              <w:widowControl/>
              <w:spacing w:before="120" w:after="120"/>
              <w:rPr>
                <w:b/>
                <w:szCs w:val="22"/>
                <w:lang w:bidi="ar-SA"/>
              </w:rPr>
            </w:pPr>
            <w:r w:rsidRPr="00296F37">
              <w:rPr>
                <w:b/>
                <w:szCs w:val="22"/>
                <w:lang w:bidi="ar-SA"/>
              </w:rPr>
              <w:t>Addition of 2′-FL to FSFYC</w:t>
            </w:r>
          </w:p>
          <w:p w14:paraId="400D97C3" w14:textId="77777777" w:rsidR="00296F37" w:rsidRPr="00296F37" w:rsidRDefault="00296F37" w:rsidP="00296F37">
            <w:pPr>
              <w:widowControl/>
              <w:spacing w:before="120" w:after="120"/>
              <w:rPr>
                <w:szCs w:val="22"/>
                <w:lang w:bidi="ar-SA"/>
              </w:rPr>
            </w:pPr>
            <w:r w:rsidRPr="00296F37">
              <w:rPr>
                <w:szCs w:val="22"/>
                <w:lang w:bidi="ar-SA"/>
              </w:rPr>
              <w:t>Some submitters wanted permissions extended to FSFYC</w:t>
            </w:r>
          </w:p>
        </w:tc>
        <w:tc>
          <w:tcPr>
            <w:tcW w:w="1905" w:type="dxa"/>
          </w:tcPr>
          <w:p w14:paraId="6483F864" w14:textId="77777777" w:rsidR="00296F37" w:rsidRPr="00296F37" w:rsidRDefault="00296F37" w:rsidP="00296F37">
            <w:pPr>
              <w:widowControl/>
              <w:spacing w:before="120" w:after="120"/>
              <w:rPr>
                <w:szCs w:val="22"/>
                <w:lang w:bidi="ar-SA"/>
              </w:rPr>
            </w:pPr>
            <w:r w:rsidRPr="00296F37">
              <w:rPr>
                <w:szCs w:val="22"/>
                <w:lang w:bidi="ar-SA"/>
              </w:rPr>
              <w:t xml:space="preserve">AFGC, INC, Nutricia, NZFGC </w:t>
            </w:r>
          </w:p>
        </w:tc>
        <w:tc>
          <w:tcPr>
            <w:tcW w:w="5917" w:type="dxa"/>
          </w:tcPr>
          <w:p w14:paraId="35DD0B64" w14:textId="0FCB9D58" w:rsidR="00296F37" w:rsidRPr="00EA59BB" w:rsidRDefault="00296F37" w:rsidP="00853663">
            <w:pPr>
              <w:widowControl/>
              <w:spacing w:before="120" w:after="120"/>
              <w:rPr>
                <w:sz w:val="24"/>
                <w:szCs w:val="22"/>
              </w:rPr>
            </w:pPr>
            <w:r w:rsidRPr="00296F37">
              <w:rPr>
                <w:szCs w:val="22"/>
                <w:lang w:bidi="ar-SA"/>
              </w:rPr>
              <w:t xml:space="preserve">The </w:t>
            </w:r>
            <w:r w:rsidR="00DF6DB2">
              <w:rPr>
                <w:szCs w:val="22"/>
                <w:lang w:bidi="ar-SA"/>
              </w:rPr>
              <w:t>applica</w:t>
            </w:r>
            <w:r w:rsidR="00853663">
              <w:rPr>
                <w:szCs w:val="22"/>
                <w:lang w:bidi="ar-SA"/>
              </w:rPr>
              <w:t>tion</w:t>
            </w:r>
            <w:r w:rsidRPr="00296F37">
              <w:rPr>
                <w:szCs w:val="22"/>
                <w:lang w:bidi="ar-SA"/>
              </w:rPr>
              <w:t xml:space="preserve"> </w:t>
            </w:r>
            <w:r w:rsidR="00853663">
              <w:rPr>
                <w:szCs w:val="22"/>
                <w:lang w:bidi="ar-SA"/>
              </w:rPr>
              <w:t>did</w:t>
            </w:r>
            <w:r w:rsidR="00853663" w:rsidRPr="00296F37">
              <w:rPr>
                <w:szCs w:val="22"/>
                <w:lang w:bidi="ar-SA"/>
              </w:rPr>
              <w:t xml:space="preserve"> </w:t>
            </w:r>
            <w:r w:rsidRPr="00296F37">
              <w:rPr>
                <w:szCs w:val="22"/>
                <w:lang w:bidi="ar-SA"/>
              </w:rPr>
              <w:t xml:space="preserve">not seek permission to add 2′-FL derived from </w:t>
            </w:r>
            <w:r w:rsidRPr="00296F37">
              <w:rPr>
                <w:i/>
                <w:szCs w:val="22"/>
                <w:lang w:bidi="ar-SA"/>
              </w:rPr>
              <w:t>E. coli</w:t>
            </w:r>
            <w:r w:rsidRPr="00296F37">
              <w:rPr>
                <w:szCs w:val="22"/>
                <w:lang w:bidi="ar-SA"/>
              </w:rPr>
              <w:t xml:space="preserve"> K-12 containing the gene for alpha-1,2-fucosyltransferase from </w:t>
            </w:r>
            <w:r w:rsidRPr="00296F37">
              <w:rPr>
                <w:i/>
                <w:szCs w:val="22"/>
                <w:lang w:bidi="ar-SA"/>
              </w:rPr>
              <w:t>Bacteroides vulgatus</w:t>
            </w:r>
            <w:r w:rsidRPr="00296F37">
              <w:rPr>
                <w:szCs w:val="22"/>
                <w:lang w:bidi="ar-SA"/>
              </w:rPr>
              <w:t xml:space="preserve"> to FSFYC.</w:t>
            </w:r>
          </w:p>
        </w:tc>
      </w:tr>
      <w:tr w:rsidR="00296F37" w:rsidRPr="00296F37" w14:paraId="752946F5" w14:textId="77777777" w:rsidTr="000821E6">
        <w:trPr>
          <w:trHeight w:val="346"/>
        </w:trPr>
        <w:tc>
          <w:tcPr>
            <w:tcW w:w="5608" w:type="dxa"/>
          </w:tcPr>
          <w:p w14:paraId="447B9CFF" w14:textId="77777777" w:rsidR="00296F37" w:rsidRPr="00296F37" w:rsidRDefault="00296F37" w:rsidP="00296F37">
            <w:pPr>
              <w:widowControl/>
              <w:spacing w:before="120" w:after="120"/>
              <w:rPr>
                <w:b/>
                <w:szCs w:val="22"/>
                <w:lang w:bidi="ar-SA"/>
              </w:rPr>
            </w:pPr>
            <w:r w:rsidRPr="00296F37">
              <w:rPr>
                <w:b/>
                <w:szCs w:val="22"/>
                <w:lang w:bidi="ar-SA"/>
              </w:rPr>
              <w:t>Review benefit of 2′-FL in IFP</w:t>
            </w:r>
          </w:p>
          <w:p w14:paraId="5542A998" w14:textId="77777777" w:rsidR="00296F37" w:rsidRPr="00296F37" w:rsidRDefault="00296F37" w:rsidP="00296F37">
            <w:pPr>
              <w:widowControl/>
              <w:spacing w:before="120" w:after="120"/>
              <w:rPr>
                <w:szCs w:val="22"/>
                <w:lang w:bidi="ar-SA"/>
              </w:rPr>
            </w:pPr>
            <w:r w:rsidRPr="00296F37">
              <w:rPr>
                <w:szCs w:val="22"/>
                <w:lang w:bidi="ar-SA"/>
              </w:rPr>
              <w:t>Two submitters highlighted the importance to reviewing the benefit assessment of 2′-FL in IFP</w:t>
            </w:r>
          </w:p>
        </w:tc>
        <w:tc>
          <w:tcPr>
            <w:tcW w:w="1905" w:type="dxa"/>
          </w:tcPr>
          <w:p w14:paraId="79710694" w14:textId="77777777" w:rsidR="00296F37" w:rsidRPr="00296F37" w:rsidRDefault="00296F37" w:rsidP="00296F37">
            <w:pPr>
              <w:widowControl/>
              <w:spacing w:before="120" w:after="120"/>
              <w:rPr>
                <w:szCs w:val="22"/>
                <w:lang w:bidi="ar-SA"/>
              </w:rPr>
            </w:pPr>
            <w:r w:rsidRPr="00296F37">
              <w:rPr>
                <w:szCs w:val="22"/>
                <w:lang w:bidi="ar-SA"/>
              </w:rPr>
              <w:t>NZFS, Vic Dep. Health</w:t>
            </w:r>
          </w:p>
        </w:tc>
        <w:tc>
          <w:tcPr>
            <w:tcW w:w="5917" w:type="dxa"/>
          </w:tcPr>
          <w:p w14:paraId="00165E38" w14:textId="0AF56264" w:rsidR="00296F37" w:rsidRPr="00296F37" w:rsidRDefault="00AA046F" w:rsidP="00A36BDE">
            <w:pPr>
              <w:widowControl/>
              <w:spacing w:before="120" w:after="120"/>
              <w:rPr>
                <w:szCs w:val="22"/>
                <w:lang w:bidi="ar-SA"/>
              </w:rPr>
            </w:pPr>
            <w:r w:rsidRPr="00AA046F">
              <w:rPr>
                <w:szCs w:val="22"/>
                <w:lang w:bidi="ar-SA"/>
              </w:rPr>
              <w:t>Noted. At the request of Food Ministers, FSANZ is to carry out a five year review (to be completed by March 2026) of the evidence of a substantiated beneficial role of 2′-FL in the normal growth and development of infants.</w:t>
            </w:r>
          </w:p>
        </w:tc>
      </w:tr>
      <w:tr w:rsidR="00296F37" w:rsidRPr="00296F37" w14:paraId="65C4AF0C" w14:textId="77777777" w:rsidTr="00296F37">
        <w:trPr>
          <w:cnfStyle w:val="000000100000" w:firstRow="0" w:lastRow="0" w:firstColumn="0" w:lastColumn="0" w:oddVBand="0" w:evenVBand="0" w:oddHBand="1" w:evenHBand="0" w:firstRowFirstColumn="0" w:firstRowLastColumn="0" w:lastRowFirstColumn="0" w:lastRowLastColumn="0"/>
          <w:trHeight w:val="697"/>
        </w:trPr>
        <w:tc>
          <w:tcPr>
            <w:tcW w:w="5608" w:type="dxa"/>
          </w:tcPr>
          <w:p w14:paraId="4B94232F" w14:textId="77777777" w:rsidR="00296F37" w:rsidRPr="00296F37" w:rsidRDefault="00296F37" w:rsidP="00296F37">
            <w:pPr>
              <w:widowControl/>
              <w:autoSpaceDE w:val="0"/>
              <w:autoSpaceDN w:val="0"/>
              <w:adjustRightInd w:val="0"/>
              <w:spacing w:before="120" w:after="120"/>
              <w:rPr>
                <w:b/>
                <w:szCs w:val="22"/>
                <w:lang w:bidi="ar-SA"/>
              </w:rPr>
            </w:pPr>
            <w:r w:rsidRPr="00296F37">
              <w:rPr>
                <w:b/>
                <w:szCs w:val="22"/>
                <w:lang w:bidi="ar-SA"/>
              </w:rPr>
              <w:t>Existing prohibition on the use of the words ‘human milk identical oligosaccharide’ or ‘human milk oligosaccharide’, and abbreviations ‘HMO’, ‘HiMO’, or any word or words or abbreviations having the same or similar effect</w:t>
            </w:r>
          </w:p>
          <w:p w14:paraId="0D16A535" w14:textId="18413F77" w:rsidR="00296F37" w:rsidRPr="00296F37" w:rsidRDefault="00296F37" w:rsidP="00296F37">
            <w:pPr>
              <w:widowControl/>
              <w:autoSpaceDE w:val="0"/>
              <w:autoSpaceDN w:val="0"/>
              <w:adjustRightInd w:val="0"/>
              <w:spacing w:before="120" w:after="120"/>
              <w:rPr>
                <w:szCs w:val="22"/>
                <w:lang w:bidi="ar-SA"/>
              </w:rPr>
            </w:pPr>
            <w:r w:rsidRPr="00296F37">
              <w:rPr>
                <w:szCs w:val="22"/>
                <w:lang w:bidi="ar-SA"/>
              </w:rPr>
              <w:lastRenderedPageBreak/>
              <w:t>Industry submitters opposed the existing prohibition on the use of the words ‘human milk identical oligosaccharide’ or ‘human milk oligosaccharide’, and abbreviations ‘HMO’, ‘HiMO’, or any word or words or abbreviations having the same or similar effect on the labels of IFP for the following reasons:</w:t>
            </w:r>
          </w:p>
          <w:p w14:paraId="38CCA1A5" w14:textId="77777777" w:rsidR="00296F37" w:rsidRPr="00296F37" w:rsidRDefault="00296F37" w:rsidP="008E6FE4">
            <w:pPr>
              <w:widowControl/>
              <w:numPr>
                <w:ilvl w:val="0"/>
                <w:numId w:val="13"/>
              </w:numPr>
              <w:spacing w:before="120" w:after="120"/>
              <w:rPr>
                <w:lang w:bidi="ar-SA"/>
              </w:rPr>
            </w:pPr>
            <w:r w:rsidRPr="00296F37">
              <w:rPr>
                <w:lang w:bidi="ar-SA"/>
              </w:rPr>
              <w:t>it conflicts with generic ingredient naming provisions</w:t>
            </w:r>
          </w:p>
          <w:p w14:paraId="1D62040C" w14:textId="77777777" w:rsidR="00296F37" w:rsidRPr="00296F37" w:rsidRDefault="00296F37" w:rsidP="008E6FE4">
            <w:pPr>
              <w:widowControl/>
              <w:numPr>
                <w:ilvl w:val="0"/>
                <w:numId w:val="13"/>
              </w:numPr>
              <w:spacing w:before="120" w:after="120"/>
              <w:rPr>
                <w:lang w:bidi="ar-SA"/>
              </w:rPr>
            </w:pPr>
            <w:r w:rsidRPr="00296F37">
              <w:rPr>
                <w:lang w:bidi="ar-SA"/>
              </w:rPr>
              <w:t xml:space="preserve">these terms would be limited to the statement of ingredients and nutrition information statement for IFP and their use would not be for promotional purposes </w:t>
            </w:r>
          </w:p>
          <w:p w14:paraId="5441F050" w14:textId="77777777" w:rsidR="00296F37" w:rsidRPr="00296F37" w:rsidRDefault="00296F37" w:rsidP="008E6FE4">
            <w:pPr>
              <w:widowControl/>
              <w:numPr>
                <w:ilvl w:val="0"/>
                <w:numId w:val="13"/>
              </w:numPr>
              <w:spacing w:before="120" w:after="120"/>
              <w:rPr>
                <w:lang w:bidi="ar-SA"/>
              </w:rPr>
            </w:pPr>
            <w:r w:rsidRPr="00296F37">
              <w:rPr>
                <w:lang w:bidi="ar-SA"/>
              </w:rPr>
              <w:t>ignores existing protections in the Code (e.g. prohibitions in section 2.9.1—24) and in consumer protection legislation</w:t>
            </w:r>
          </w:p>
          <w:p w14:paraId="00AD107F" w14:textId="77777777" w:rsidR="00296F37" w:rsidRPr="00296F37" w:rsidRDefault="00296F37" w:rsidP="008E6FE4">
            <w:pPr>
              <w:widowControl/>
              <w:numPr>
                <w:ilvl w:val="0"/>
                <w:numId w:val="13"/>
              </w:numPr>
              <w:spacing w:before="120" w:after="120"/>
              <w:rPr>
                <w:lang w:bidi="ar-SA"/>
              </w:rPr>
            </w:pPr>
            <w:r w:rsidRPr="00296F37">
              <w:rPr>
                <w:lang w:bidi="ar-SA"/>
              </w:rPr>
              <w:t>the terms have a long history of use in the scientific literature</w:t>
            </w:r>
          </w:p>
          <w:p w14:paraId="0A5E8D0A" w14:textId="77777777" w:rsidR="00296F37" w:rsidRPr="00296F37" w:rsidRDefault="00296F37" w:rsidP="008E6FE4">
            <w:pPr>
              <w:widowControl/>
              <w:numPr>
                <w:ilvl w:val="0"/>
                <w:numId w:val="13"/>
              </w:numPr>
              <w:spacing w:before="120" w:after="120"/>
              <w:rPr>
                <w:lang w:bidi="ar-SA"/>
              </w:rPr>
            </w:pPr>
            <w:r w:rsidRPr="00296F37">
              <w:rPr>
                <w:lang w:bidi="ar-SA"/>
              </w:rPr>
              <w:t>the terms are more easily understood by consumers and it may be more misleading and deceptive to prohibit them</w:t>
            </w:r>
          </w:p>
          <w:p w14:paraId="68557540" w14:textId="77777777" w:rsidR="00296F37" w:rsidRPr="00296F37" w:rsidRDefault="00296F37" w:rsidP="008E6FE4">
            <w:pPr>
              <w:widowControl/>
              <w:numPr>
                <w:ilvl w:val="0"/>
                <w:numId w:val="13"/>
              </w:numPr>
              <w:spacing w:before="120" w:after="120"/>
              <w:rPr>
                <w:lang w:bidi="ar-SA"/>
              </w:rPr>
            </w:pPr>
            <w:r w:rsidRPr="00296F37">
              <w:rPr>
                <w:lang w:bidi="ar-SA"/>
              </w:rPr>
              <w:t>it is contrary to the provision of adequate information to enable consumers to make informed choices</w:t>
            </w:r>
          </w:p>
          <w:p w14:paraId="317FFB92" w14:textId="77777777" w:rsidR="00296F37" w:rsidRPr="00296F37" w:rsidRDefault="00296F37" w:rsidP="009F203B">
            <w:pPr>
              <w:widowControl/>
              <w:numPr>
                <w:ilvl w:val="0"/>
                <w:numId w:val="13"/>
              </w:numPr>
              <w:spacing w:before="0" w:beforeAutospacing="0" w:after="0" w:afterAutospacing="0"/>
              <w:ind w:left="714" w:hanging="357"/>
              <w:rPr>
                <w:lang w:bidi="ar-SA"/>
              </w:rPr>
            </w:pPr>
            <w:r w:rsidRPr="00296F37">
              <w:rPr>
                <w:lang w:bidi="ar-SA"/>
              </w:rPr>
              <w:t>ignores international standards (e.g. the EU and U.S.) that allow such terms, creating an inconsistency</w:t>
            </w:r>
          </w:p>
          <w:p w14:paraId="15E2CDA2" w14:textId="77777777" w:rsidR="00296F37" w:rsidRPr="00296F37" w:rsidRDefault="00296F37" w:rsidP="008E6FE4">
            <w:pPr>
              <w:widowControl/>
              <w:numPr>
                <w:ilvl w:val="0"/>
                <w:numId w:val="14"/>
              </w:numPr>
              <w:autoSpaceDE w:val="0"/>
              <w:autoSpaceDN w:val="0"/>
              <w:adjustRightInd w:val="0"/>
              <w:spacing w:before="120" w:after="120"/>
              <w:contextualSpacing/>
              <w:rPr>
                <w:szCs w:val="22"/>
                <w:lang w:bidi="ar-SA"/>
              </w:rPr>
            </w:pPr>
            <w:r w:rsidRPr="00296F37">
              <w:rPr>
                <w:szCs w:val="22"/>
                <w:lang w:bidi="ar-SA"/>
              </w:rPr>
              <w:t>it has the potential to constrain innovation and create trade barriers. A requirement for unique domestic labelling restricts imports (and hence availability of products to consumers) and increases export costs</w:t>
            </w:r>
          </w:p>
          <w:p w14:paraId="38F77F2B" w14:textId="77777777" w:rsidR="00296F37" w:rsidRPr="00296F37" w:rsidRDefault="00296F37" w:rsidP="008E6FE4">
            <w:pPr>
              <w:widowControl/>
              <w:numPr>
                <w:ilvl w:val="0"/>
                <w:numId w:val="14"/>
              </w:numPr>
              <w:autoSpaceDE w:val="0"/>
              <w:autoSpaceDN w:val="0"/>
              <w:adjustRightInd w:val="0"/>
              <w:spacing w:before="120" w:after="120"/>
              <w:contextualSpacing/>
              <w:rPr>
                <w:szCs w:val="22"/>
                <w:lang w:bidi="ar-SA"/>
              </w:rPr>
            </w:pPr>
            <w:r w:rsidRPr="00296F37">
              <w:rPr>
                <w:szCs w:val="22"/>
                <w:lang w:bidi="ar-SA"/>
              </w:rPr>
              <w:t>increases labelling costs</w:t>
            </w:r>
          </w:p>
        </w:tc>
        <w:tc>
          <w:tcPr>
            <w:tcW w:w="1905" w:type="dxa"/>
          </w:tcPr>
          <w:p w14:paraId="09D65AC2" w14:textId="77777777" w:rsidR="00296F37" w:rsidRPr="00296F37" w:rsidRDefault="00296F37" w:rsidP="00296F37">
            <w:pPr>
              <w:widowControl/>
              <w:spacing w:before="120" w:after="120"/>
              <w:rPr>
                <w:szCs w:val="22"/>
                <w:lang w:bidi="ar-SA"/>
              </w:rPr>
            </w:pPr>
            <w:r w:rsidRPr="00296F37">
              <w:rPr>
                <w:szCs w:val="22"/>
                <w:lang w:bidi="ar-SA"/>
              </w:rPr>
              <w:lastRenderedPageBreak/>
              <w:t>AFGC, INC, NZFGC, Nutricia</w:t>
            </w:r>
          </w:p>
        </w:tc>
        <w:tc>
          <w:tcPr>
            <w:tcW w:w="5917" w:type="dxa"/>
          </w:tcPr>
          <w:p w14:paraId="7F64788C" w14:textId="7CDE9C67" w:rsidR="00296F37" w:rsidRPr="00EA59BB" w:rsidRDefault="00240033" w:rsidP="00296F37">
            <w:pPr>
              <w:widowControl/>
              <w:spacing w:before="120" w:after="120"/>
              <w:rPr>
                <w:sz w:val="24"/>
                <w:szCs w:val="22"/>
              </w:rPr>
            </w:pPr>
            <w:r>
              <w:rPr>
                <w:szCs w:val="22"/>
                <w:lang w:bidi="ar-SA"/>
              </w:rPr>
              <w:t xml:space="preserve">The applicant </w:t>
            </w:r>
            <w:r w:rsidR="004F57A0">
              <w:rPr>
                <w:szCs w:val="22"/>
                <w:lang w:bidi="ar-SA"/>
              </w:rPr>
              <w:t xml:space="preserve">did </w:t>
            </w:r>
            <w:r>
              <w:rPr>
                <w:szCs w:val="22"/>
                <w:lang w:bidi="ar-SA"/>
              </w:rPr>
              <w:t xml:space="preserve">not request </w:t>
            </w:r>
            <w:r w:rsidR="00D642B9">
              <w:rPr>
                <w:szCs w:val="22"/>
                <w:lang w:bidi="ar-SA"/>
              </w:rPr>
              <w:t xml:space="preserve">a change to the </w:t>
            </w:r>
            <w:r w:rsidR="004F57A0">
              <w:rPr>
                <w:szCs w:val="22"/>
                <w:lang w:bidi="ar-SA"/>
              </w:rPr>
              <w:t xml:space="preserve">existing </w:t>
            </w:r>
            <w:r w:rsidR="00D642B9">
              <w:rPr>
                <w:szCs w:val="22"/>
                <w:lang w:bidi="ar-SA"/>
              </w:rPr>
              <w:t>prohibition</w:t>
            </w:r>
            <w:r w:rsidR="00D52F5C">
              <w:rPr>
                <w:szCs w:val="22"/>
                <w:lang w:bidi="ar-SA"/>
              </w:rPr>
              <w:t>, t</w:t>
            </w:r>
            <w:r w:rsidR="00995F96">
              <w:rPr>
                <w:szCs w:val="22"/>
                <w:lang w:bidi="ar-SA"/>
              </w:rPr>
              <w:t>herefore a</w:t>
            </w:r>
            <w:r w:rsidR="007952D9">
              <w:rPr>
                <w:szCs w:val="22"/>
                <w:lang w:bidi="ar-SA"/>
              </w:rPr>
              <w:t xml:space="preserve"> review</w:t>
            </w:r>
            <w:r w:rsidR="00DF52DC">
              <w:rPr>
                <w:szCs w:val="22"/>
                <w:lang w:bidi="ar-SA"/>
              </w:rPr>
              <w:t xml:space="preserve"> of this prohibition is not in scope. </w:t>
            </w:r>
          </w:p>
          <w:p w14:paraId="4C719C47" w14:textId="674D9EFE" w:rsidR="00296F37" w:rsidRPr="00296F37" w:rsidRDefault="0069666A" w:rsidP="00296F37">
            <w:pPr>
              <w:widowControl/>
              <w:spacing w:before="120" w:after="120"/>
              <w:rPr>
                <w:color w:val="0000FF"/>
                <w:szCs w:val="22"/>
                <w:u w:val="single"/>
                <w:lang w:bidi="ar-SA"/>
              </w:rPr>
            </w:pPr>
            <w:r>
              <w:rPr>
                <w:szCs w:val="22"/>
                <w:lang w:bidi="ar-SA"/>
              </w:rPr>
              <w:t>FSANZ notes that the</w:t>
            </w:r>
            <w:r w:rsidR="00EA715A">
              <w:rPr>
                <w:szCs w:val="22"/>
                <w:lang w:bidi="ar-SA"/>
              </w:rPr>
              <w:t xml:space="preserve"> </w:t>
            </w:r>
            <w:r w:rsidR="00296F37" w:rsidRPr="00296F37">
              <w:rPr>
                <w:szCs w:val="22"/>
                <w:lang w:bidi="ar-SA"/>
              </w:rPr>
              <w:t xml:space="preserve">labelling </w:t>
            </w:r>
            <w:r w:rsidR="00DF52DC">
              <w:rPr>
                <w:szCs w:val="22"/>
                <w:lang w:bidi="ar-SA"/>
              </w:rPr>
              <w:t>requirement</w:t>
            </w:r>
            <w:r w:rsidR="00296F37" w:rsidRPr="00296F37">
              <w:rPr>
                <w:szCs w:val="22"/>
                <w:lang w:bidi="ar-SA"/>
              </w:rPr>
              <w:t xml:space="preserve"> aligns with the regulatory approach for prohibiting HMO terminology that </w:t>
            </w:r>
            <w:r w:rsidR="00296F37" w:rsidRPr="00296F37">
              <w:rPr>
                <w:szCs w:val="22"/>
                <w:lang w:bidi="ar-SA"/>
              </w:rPr>
              <w:lastRenderedPageBreak/>
              <w:t xml:space="preserve">was described in the Approval Report for </w:t>
            </w:r>
            <w:hyperlink r:id="rId23" w:history="1">
              <w:r w:rsidR="00296F37" w:rsidRPr="00296F37">
                <w:rPr>
                  <w:color w:val="0000FF"/>
                  <w:szCs w:val="22"/>
                  <w:u w:val="single"/>
                  <w:lang w:bidi="ar-SA"/>
                </w:rPr>
                <w:t>A1155 2′-FL and LnNT in infant formula and other products</w:t>
              </w:r>
            </w:hyperlink>
            <w:r w:rsidR="00296F37" w:rsidRPr="007A6129">
              <w:rPr>
                <w:szCs w:val="22"/>
                <w:lang w:bidi="ar-SA"/>
              </w:rPr>
              <w:t xml:space="preserve"> and </w:t>
            </w:r>
            <w:r w:rsidR="00296F37" w:rsidRPr="00296F37">
              <w:rPr>
                <w:szCs w:val="22"/>
                <w:lang w:bidi="ar-SA"/>
              </w:rPr>
              <w:t xml:space="preserve">gazetted in March 2021.  </w:t>
            </w:r>
          </w:p>
          <w:p w14:paraId="77B0F7A2" w14:textId="7DE0AD14" w:rsidR="00296F37" w:rsidRPr="00296F37" w:rsidRDefault="0069666A" w:rsidP="00296F37">
            <w:pPr>
              <w:widowControl/>
              <w:spacing w:before="120" w:after="120"/>
              <w:rPr>
                <w:szCs w:val="22"/>
                <w:lang w:bidi="ar-SA"/>
              </w:rPr>
            </w:pPr>
            <w:r>
              <w:rPr>
                <w:szCs w:val="22"/>
                <w:lang w:bidi="ar-SA"/>
              </w:rPr>
              <w:t xml:space="preserve">FSANZ also notes its </w:t>
            </w:r>
            <w:r w:rsidR="00A00CE5">
              <w:rPr>
                <w:szCs w:val="22"/>
                <w:lang w:bidi="ar-SA"/>
              </w:rPr>
              <w:t>more recent</w:t>
            </w:r>
            <w:r>
              <w:rPr>
                <w:szCs w:val="22"/>
                <w:lang w:bidi="ar-SA"/>
              </w:rPr>
              <w:t xml:space="preserve"> published responses to </w:t>
            </w:r>
            <w:r w:rsidR="00296F37" w:rsidRPr="00296F37">
              <w:rPr>
                <w:szCs w:val="22"/>
                <w:lang w:bidi="ar-SA"/>
              </w:rPr>
              <w:t>similar concerns from industry submitters</w:t>
            </w:r>
            <w:r w:rsidR="00967C11">
              <w:rPr>
                <w:szCs w:val="22"/>
                <w:lang w:bidi="ar-SA"/>
              </w:rPr>
              <w:t>.</w:t>
            </w:r>
            <w:r w:rsidR="00296F37" w:rsidRPr="00296F37">
              <w:rPr>
                <w:szCs w:val="22"/>
                <w:lang w:bidi="ar-SA"/>
              </w:rPr>
              <w:t xml:space="preserve"> </w:t>
            </w:r>
            <w:r>
              <w:rPr>
                <w:szCs w:val="22"/>
                <w:lang w:bidi="ar-SA"/>
              </w:rPr>
              <w:t>S</w:t>
            </w:r>
            <w:r w:rsidR="007A6129">
              <w:rPr>
                <w:szCs w:val="22"/>
                <w:lang w:bidi="ar-SA"/>
              </w:rPr>
              <w:t>ee</w:t>
            </w:r>
            <w:r>
              <w:rPr>
                <w:szCs w:val="22"/>
                <w:lang w:bidi="ar-SA"/>
              </w:rPr>
              <w:t>, for example,</w:t>
            </w:r>
            <w:r w:rsidR="00296F37" w:rsidRPr="00296F37">
              <w:rPr>
                <w:szCs w:val="22"/>
                <w:lang w:bidi="ar-SA"/>
              </w:rPr>
              <w:t xml:space="preserve"> Table 1 to section 2.1 in the Approval Report for </w:t>
            </w:r>
            <w:hyperlink r:id="rId24" w:history="1">
              <w:r w:rsidR="00296F37" w:rsidRPr="00296F37">
                <w:rPr>
                  <w:color w:val="0000FF"/>
                  <w:szCs w:val="22"/>
                  <w:u w:val="single"/>
                  <w:lang w:bidi="ar-SA"/>
                </w:rPr>
                <w:t>A1190 2′-FL in infant formula and other products</w:t>
              </w:r>
              <w:r w:rsidR="00296F37" w:rsidRPr="007A6129">
                <w:rPr>
                  <w:szCs w:val="22"/>
                  <w:lang w:bidi="ar-SA"/>
                </w:rPr>
                <w:t xml:space="preserve">. </w:t>
              </w:r>
            </w:hyperlink>
          </w:p>
          <w:p w14:paraId="5B18E98D" w14:textId="77777777" w:rsidR="00296F37" w:rsidRPr="00296F37" w:rsidRDefault="00296F37" w:rsidP="00296F37">
            <w:pPr>
              <w:widowControl/>
              <w:spacing w:before="120" w:after="120"/>
              <w:rPr>
                <w:szCs w:val="22"/>
                <w:lang w:bidi="ar-SA"/>
              </w:rPr>
            </w:pPr>
          </w:p>
        </w:tc>
      </w:tr>
      <w:tr w:rsidR="00296F37" w:rsidRPr="00296F37" w14:paraId="73E4760D" w14:textId="77777777" w:rsidTr="000821E6">
        <w:trPr>
          <w:trHeight w:val="346"/>
        </w:trPr>
        <w:tc>
          <w:tcPr>
            <w:tcW w:w="5608" w:type="dxa"/>
          </w:tcPr>
          <w:p w14:paraId="457C3D9F" w14:textId="77777777" w:rsidR="00296F37" w:rsidRPr="00296F37" w:rsidRDefault="00296F37" w:rsidP="00296F37">
            <w:pPr>
              <w:widowControl/>
              <w:spacing w:before="120" w:after="120"/>
              <w:rPr>
                <w:b/>
                <w:szCs w:val="22"/>
                <w:lang w:bidi="ar-SA"/>
              </w:rPr>
            </w:pPr>
            <w:r w:rsidRPr="00296F37">
              <w:rPr>
                <w:b/>
                <w:szCs w:val="22"/>
                <w:lang w:bidi="ar-SA"/>
              </w:rPr>
              <w:lastRenderedPageBreak/>
              <w:t>Microbiological and heavy metal specifications for 2′-FL</w:t>
            </w:r>
          </w:p>
          <w:p w14:paraId="4A54C392" w14:textId="7B16AC3A" w:rsidR="00296F37" w:rsidRPr="00296F37" w:rsidRDefault="00296F37" w:rsidP="00296F37">
            <w:pPr>
              <w:widowControl/>
              <w:spacing w:before="120" w:after="120"/>
              <w:rPr>
                <w:szCs w:val="22"/>
                <w:lang w:bidi="ar-SA"/>
              </w:rPr>
            </w:pPr>
            <w:r w:rsidRPr="00296F37">
              <w:rPr>
                <w:szCs w:val="22"/>
                <w:lang w:bidi="ar-SA"/>
              </w:rPr>
              <w:t>Industry submitters posited that microbiological criteria and limits for heavy metals are not need</w:t>
            </w:r>
            <w:r w:rsidR="00C3265D">
              <w:rPr>
                <w:szCs w:val="22"/>
                <w:lang w:bidi="ar-SA"/>
              </w:rPr>
              <w:t>ed</w:t>
            </w:r>
            <w:r w:rsidRPr="00296F37">
              <w:rPr>
                <w:szCs w:val="22"/>
                <w:lang w:bidi="ar-SA"/>
              </w:rPr>
              <w:t xml:space="preserve"> in specifications, unless there is a specific reason</w:t>
            </w:r>
            <w:r w:rsidR="00C3265D">
              <w:rPr>
                <w:szCs w:val="22"/>
                <w:lang w:bidi="ar-SA"/>
              </w:rPr>
              <w:t>.</w:t>
            </w:r>
            <w:r w:rsidRPr="00296F37">
              <w:rPr>
                <w:szCs w:val="22"/>
                <w:lang w:bidi="ar-SA"/>
              </w:rPr>
              <w:t xml:space="preserve"> </w:t>
            </w:r>
            <w:r w:rsidR="00C3265D">
              <w:rPr>
                <w:szCs w:val="22"/>
                <w:lang w:bidi="ar-SA"/>
              </w:rPr>
              <w:t>I</w:t>
            </w:r>
            <w:r w:rsidRPr="00296F37">
              <w:rPr>
                <w:szCs w:val="22"/>
                <w:lang w:bidi="ar-SA"/>
              </w:rPr>
              <w:t xml:space="preserve">t is </w:t>
            </w:r>
            <w:r w:rsidR="00172B0A">
              <w:rPr>
                <w:szCs w:val="22"/>
                <w:lang w:bidi="ar-SA"/>
              </w:rPr>
              <w:t xml:space="preserve">the </w:t>
            </w:r>
            <w:r w:rsidRPr="00296F37">
              <w:rPr>
                <w:szCs w:val="22"/>
                <w:lang w:bidi="ar-SA"/>
              </w:rPr>
              <w:t>manufacturers responsibility to assess microbiological suitability of ingredients</w:t>
            </w:r>
            <w:r w:rsidR="00C3265D">
              <w:rPr>
                <w:szCs w:val="22"/>
                <w:lang w:bidi="ar-SA"/>
              </w:rPr>
              <w:t>.</w:t>
            </w:r>
          </w:p>
          <w:p w14:paraId="30DF8478" w14:textId="509B1FB2" w:rsidR="00296F37" w:rsidRPr="00296F37" w:rsidRDefault="00296F37" w:rsidP="00296F37">
            <w:pPr>
              <w:widowControl/>
              <w:spacing w:before="120" w:after="120"/>
              <w:rPr>
                <w:szCs w:val="22"/>
                <w:lang w:bidi="ar-SA"/>
              </w:rPr>
            </w:pPr>
            <w:r w:rsidRPr="00296F37">
              <w:rPr>
                <w:szCs w:val="22"/>
                <w:lang w:bidi="ar-SA"/>
              </w:rPr>
              <w:t>In some industry submitter opinion</w:t>
            </w:r>
            <w:r w:rsidR="00C3265D">
              <w:rPr>
                <w:szCs w:val="22"/>
                <w:lang w:bidi="ar-SA"/>
              </w:rPr>
              <w:t>s</w:t>
            </w:r>
            <w:r w:rsidRPr="00296F37">
              <w:rPr>
                <w:szCs w:val="22"/>
                <w:lang w:bidi="ar-SA"/>
              </w:rPr>
              <w:t>, there is an inconsistent approach in Schedule 3</w:t>
            </w:r>
            <w:r w:rsidR="00C3265D">
              <w:rPr>
                <w:szCs w:val="22"/>
                <w:lang w:bidi="ar-SA"/>
              </w:rPr>
              <w:t xml:space="preserve"> -</w:t>
            </w:r>
            <w:r w:rsidRPr="00296F37">
              <w:rPr>
                <w:szCs w:val="22"/>
                <w:lang w:bidi="ar-SA"/>
              </w:rPr>
              <w:t xml:space="preserve"> microbiological (and other) criteria are included in some cases and not others. This also applies to other parameters. </w:t>
            </w:r>
          </w:p>
          <w:p w14:paraId="09E9AD90" w14:textId="77777777" w:rsidR="00296F37" w:rsidRPr="00296F37" w:rsidRDefault="00296F37" w:rsidP="00296F37">
            <w:pPr>
              <w:widowControl/>
              <w:spacing w:before="120" w:after="120"/>
              <w:rPr>
                <w:szCs w:val="22"/>
                <w:lang w:bidi="ar-SA"/>
              </w:rPr>
            </w:pPr>
            <w:r w:rsidRPr="00296F37">
              <w:rPr>
                <w:szCs w:val="22"/>
                <w:lang w:bidi="ar-SA"/>
              </w:rPr>
              <w:t xml:space="preserve">It is not clear how FSANZ decides what parameters are included in specifications and submitters call for a more consistent approach. </w:t>
            </w:r>
          </w:p>
        </w:tc>
        <w:tc>
          <w:tcPr>
            <w:tcW w:w="1905" w:type="dxa"/>
          </w:tcPr>
          <w:p w14:paraId="64B4291A" w14:textId="77777777" w:rsidR="00296F37" w:rsidRPr="00296F37" w:rsidRDefault="00296F37" w:rsidP="00296F37">
            <w:pPr>
              <w:widowControl/>
              <w:spacing w:before="120" w:after="120"/>
              <w:rPr>
                <w:szCs w:val="22"/>
                <w:lang w:bidi="ar-SA"/>
              </w:rPr>
            </w:pPr>
            <w:r w:rsidRPr="00296F37">
              <w:rPr>
                <w:szCs w:val="22"/>
                <w:lang w:bidi="ar-SA"/>
              </w:rPr>
              <w:t>AFGC, INC, NZFGC</w:t>
            </w:r>
          </w:p>
        </w:tc>
        <w:tc>
          <w:tcPr>
            <w:tcW w:w="5917" w:type="dxa"/>
          </w:tcPr>
          <w:p w14:paraId="16CD7A74" w14:textId="46CF4152" w:rsidR="00E14D87" w:rsidRDefault="00E14D87" w:rsidP="007572FB">
            <w:pPr>
              <w:widowControl/>
              <w:spacing w:before="120" w:after="120"/>
            </w:pPr>
            <w:r>
              <w:t>FSANZ acknowledges differences in some microbiological and other criteria exist between specifications in Schedule 3. However, the broader issues relating to parameters set by Schedule 3 are out of scope for this application.</w:t>
            </w:r>
          </w:p>
          <w:p w14:paraId="1809B518" w14:textId="504760CC" w:rsidR="00EA59BB" w:rsidRDefault="00EA59BB" w:rsidP="007572FB">
            <w:pPr>
              <w:widowControl/>
              <w:spacing w:before="120" w:after="120"/>
            </w:pPr>
            <w:r>
              <w:t>See also the responses below and Section 3.2 of this report.</w:t>
            </w:r>
          </w:p>
          <w:p w14:paraId="1CB55757" w14:textId="3F411529" w:rsidR="001C582E" w:rsidRPr="00B611AF" w:rsidRDefault="001C582E" w:rsidP="00895B13">
            <w:pPr>
              <w:widowControl/>
              <w:spacing w:before="120" w:after="120"/>
              <w:rPr>
                <w:rFonts w:eastAsia="Times New Roman" w:cs="Times New Roman"/>
                <w:szCs w:val="22"/>
                <w:lang w:val="en-GB" w:bidi="ar-SA"/>
              </w:rPr>
            </w:pPr>
          </w:p>
        </w:tc>
      </w:tr>
      <w:tr w:rsidR="00296F37" w:rsidRPr="00296F37" w14:paraId="61479ED1" w14:textId="77777777" w:rsidTr="00296F37">
        <w:trPr>
          <w:cnfStyle w:val="000000100000" w:firstRow="0" w:lastRow="0" w:firstColumn="0" w:lastColumn="0" w:oddVBand="0" w:evenVBand="0" w:oddHBand="1" w:evenHBand="0" w:firstRowFirstColumn="0" w:firstRowLastColumn="0" w:lastRowFirstColumn="0" w:lastRowLastColumn="0"/>
          <w:trHeight w:val="346"/>
        </w:trPr>
        <w:tc>
          <w:tcPr>
            <w:tcW w:w="5608" w:type="dxa"/>
          </w:tcPr>
          <w:p w14:paraId="1E91BB93" w14:textId="77777777" w:rsidR="00296F37" w:rsidRPr="00296F37" w:rsidRDefault="00296F37" w:rsidP="00296F37">
            <w:pPr>
              <w:widowControl/>
              <w:spacing w:before="120" w:after="120"/>
              <w:rPr>
                <w:b/>
                <w:szCs w:val="22"/>
                <w:lang w:bidi="ar-SA"/>
              </w:rPr>
            </w:pPr>
            <w:r w:rsidRPr="00296F37">
              <w:rPr>
                <w:b/>
                <w:szCs w:val="22"/>
                <w:lang w:bidi="ar-SA"/>
              </w:rPr>
              <w:t>Manufacturers specifications compared to specifications from other sources</w:t>
            </w:r>
          </w:p>
          <w:p w14:paraId="57D5AAC7" w14:textId="16FEA0E9" w:rsidR="00296F37" w:rsidRPr="00296F37" w:rsidRDefault="00296F37" w:rsidP="00E67322">
            <w:pPr>
              <w:widowControl/>
              <w:spacing w:before="120" w:after="120"/>
              <w:rPr>
                <w:szCs w:val="22"/>
                <w:lang w:bidi="ar-SA"/>
              </w:rPr>
            </w:pPr>
            <w:r w:rsidRPr="00296F37">
              <w:rPr>
                <w:szCs w:val="22"/>
                <w:lang w:bidi="ar-SA"/>
              </w:rPr>
              <w:t xml:space="preserve">The submitter notes that FSANZ has previously stated that identity and purity specifications are provided by the </w:t>
            </w:r>
            <w:r w:rsidR="00DF6DB2">
              <w:rPr>
                <w:szCs w:val="22"/>
                <w:lang w:bidi="ar-SA"/>
              </w:rPr>
              <w:t>applicant</w:t>
            </w:r>
            <w:r w:rsidRPr="00296F37">
              <w:rPr>
                <w:szCs w:val="22"/>
                <w:lang w:bidi="ar-SA"/>
              </w:rPr>
              <w:t xml:space="preserve"> and based on their </w:t>
            </w:r>
            <w:r w:rsidR="000E7C1F" w:rsidRPr="00296F37">
              <w:rPr>
                <w:szCs w:val="22"/>
                <w:lang w:bidi="ar-SA"/>
              </w:rPr>
              <w:t>prop</w:t>
            </w:r>
            <w:r w:rsidR="000E7C1F">
              <w:rPr>
                <w:szCs w:val="22"/>
                <w:lang w:bidi="ar-SA"/>
              </w:rPr>
              <w:t>r</w:t>
            </w:r>
            <w:r w:rsidR="000E7C1F" w:rsidRPr="00296F37">
              <w:rPr>
                <w:szCs w:val="22"/>
                <w:lang w:bidi="ar-SA"/>
              </w:rPr>
              <w:t>ietary</w:t>
            </w:r>
            <w:r w:rsidRPr="00296F37">
              <w:rPr>
                <w:szCs w:val="22"/>
                <w:lang w:bidi="ar-SA"/>
              </w:rPr>
              <w:t xml:space="preserve"> manufacturing process. However, the proposed purity specifications are </w:t>
            </w:r>
            <w:r w:rsidR="00E67322" w:rsidRPr="00296F37">
              <w:rPr>
                <w:szCs w:val="22"/>
                <w:lang w:bidi="ar-SA"/>
              </w:rPr>
              <w:t>m</w:t>
            </w:r>
            <w:r w:rsidR="00E67322">
              <w:rPr>
                <w:szCs w:val="22"/>
                <w:lang w:bidi="ar-SA"/>
              </w:rPr>
              <w:t xml:space="preserve">ore liberal </w:t>
            </w:r>
            <w:r w:rsidRPr="00296F37">
              <w:rPr>
                <w:szCs w:val="22"/>
                <w:lang w:bidi="ar-SA"/>
              </w:rPr>
              <w:t xml:space="preserve">than the </w:t>
            </w:r>
            <w:r w:rsidR="00DF6DB2">
              <w:rPr>
                <w:szCs w:val="22"/>
                <w:lang w:bidi="ar-SA"/>
              </w:rPr>
              <w:t>applicant</w:t>
            </w:r>
            <w:r w:rsidRPr="00296F37">
              <w:rPr>
                <w:szCs w:val="22"/>
                <w:lang w:bidi="ar-SA"/>
              </w:rPr>
              <w:t xml:space="preserve">s own specifications. The specifications should be changed to align with the </w:t>
            </w:r>
            <w:r w:rsidR="00240033">
              <w:rPr>
                <w:szCs w:val="22"/>
                <w:lang w:bidi="ar-SA"/>
              </w:rPr>
              <w:t>proprietary</w:t>
            </w:r>
            <w:r w:rsidRPr="00296F37">
              <w:rPr>
                <w:szCs w:val="22"/>
                <w:lang w:bidi="ar-SA"/>
              </w:rPr>
              <w:t xml:space="preserve"> manufacturing process apparent in the batch data. This would be consistent with A1155 and A1190 where the manufacturer’s specification was adopted.</w:t>
            </w:r>
          </w:p>
        </w:tc>
        <w:tc>
          <w:tcPr>
            <w:tcW w:w="1905" w:type="dxa"/>
          </w:tcPr>
          <w:p w14:paraId="3B056CDC" w14:textId="77777777" w:rsidR="00296F37" w:rsidRPr="00296F37" w:rsidRDefault="00296F37" w:rsidP="00296F37">
            <w:pPr>
              <w:widowControl/>
              <w:spacing w:before="120" w:after="120"/>
              <w:rPr>
                <w:szCs w:val="22"/>
                <w:lang w:bidi="ar-SA"/>
              </w:rPr>
            </w:pPr>
            <w:r w:rsidRPr="00296F37">
              <w:rPr>
                <w:szCs w:val="22"/>
                <w:lang w:bidi="ar-SA"/>
              </w:rPr>
              <w:t>DSM, Nestle</w:t>
            </w:r>
          </w:p>
        </w:tc>
        <w:tc>
          <w:tcPr>
            <w:tcW w:w="5917" w:type="dxa"/>
          </w:tcPr>
          <w:p w14:paraId="48BE1B67" w14:textId="5DF1DF20" w:rsidR="007521F1" w:rsidRDefault="00B44E69" w:rsidP="007521F1">
            <w:pPr>
              <w:widowControl/>
              <w:spacing w:before="120" w:after="120"/>
              <w:rPr>
                <w:szCs w:val="22"/>
                <w:lang w:bidi="ar-SA"/>
              </w:rPr>
            </w:pPr>
            <w:r>
              <w:rPr>
                <w:szCs w:val="22"/>
                <w:lang w:bidi="ar-SA"/>
              </w:rPr>
              <w:t>FSANZ acknowledges that specifications for A1155 and A1190 aligned with manufacturing processes of those specific 2ʹ-FL products however it</w:t>
            </w:r>
            <w:r w:rsidR="00C219FD">
              <w:rPr>
                <w:szCs w:val="22"/>
                <w:lang w:bidi="ar-SA"/>
              </w:rPr>
              <w:t xml:space="preserve"> is not </w:t>
            </w:r>
            <w:r>
              <w:rPr>
                <w:szCs w:val="22"/>
                <w:lang w:bidi="ar-SA"/>
              </w:rPr>
              <w:t>a requirement</w:t>
            </w:r>
            <w:r w:rsidR="00C219FD">
              <w:rPr>
                <w:szCs w:val="22"/>
                <w:lang w:bidi="ar-SA"/>
              </w:rPr>
              <w:t xml:space="preserve"> for FSANZ to base the specification on a proprietary manufacturing process. </w:t>
            </w:r>
            <w:r w:rsidR="00453924">
              <w:rPr>
                <w:szCs w:val="22"/>
                <w:lang w:bidi="ar-SA"/>
              </w:rPr>
              <w:t xml:space="preserve">The </w:t>
            </w:r>
            <w:r w:rsidR="00C219FD">
              <w:rPr>
                <w:szCs w:val="22"/>
                <w:lang w:bidi="ar-SA"/>
              </w:rPr>
              <w:t xml:space="preserve">purpose of a </w:t>
            </w:r>
            <w:r w:rsidR="00A00CE5">
              <w:rPr>
                <w:szCs w:val="22"/>
                <w:lang w:bidi="ar-SA"/>
              </w:rPr>
              <w:t xml:space="preserve">Schedule 3 </w:t>
            </w:r>
            <w:r w:rsidR="00C219FD">
              <w:rPr>
                <w:szCs w:val="22"/>
                <w:lang w:bidi="ar-SA"/>
              </w:rPr>
              <w:t>specification is to</w:t>
            </w:r>
            <w:r w:rsidR="00453924">
              <w:t xml:space="preserve"> set minimum standards relating to a particular substance’s purity and identity to ensure the safe use of that substance. </w:t>
            </w:r>
          </w:p>
          <w:p w14:paraId="6970D43E" w14:textId="404F159F" w:rsidR="007521F1" w:rsidRDefault="00A00CE5" w:rsidP="007521F1">
            <w:pPr>
              <w:widowControl/>
              <w:spacing w:before="120" w:after="120"/>
              <w:rPr>
                <w:szCs w:val="22"/>
                <w:lang w:bidi="ar-SA"/>
              </w:rPr>
            </w:pPr>
            <w:r>
              <w:rPr>
                <w:szCs w:val="22"/>
                <w:lang w:bidi="ar-SA"/>
              </w:rPr>
              <w:t xml:space="preserve">As requested </w:t>
            </w:r>
            <w:r w:rsidR="00453924">
              <w:rPr>
                <w:szCs w:val="22"/>
                <w:lang w:bidi="ar-SA"/>
              </w:rPr>
              <w:t xml:space="preserve">in </w:t>
            </w:r>
            <w:r>
              <w:rPr>
                <w:szCs w:val="22"/>
                <w:lang w:bidi="ar-SA"/>
              </w:rPr>
              <w:t xml:space="preserve">the application, </w:t>
            </w:r>
            <w:r w:rsidR="007521F1" w:rsidRPr="0017158E">
              <w:rPr>
                <w:szCs w:val="22"/>
                <w:lang w:bidi="ar-SA"/>
              </w:rPr>
              <w:t xml:space="preserve">FSANZ </w:t>
            </w:r>
            <w:r w:rsidR="007521F1">
              <w:rPr>
                <w:szCs w:val="22"/>
                <w:lang w:bidi="ar-SA"/>
              </w:rPr>
              <w:t>assessed</w:t>
            </w:r>
            <w:r w:rsidR="007521F1" w:rsidRPr="0017158E">
              <w:rPr>
                <w:szCs w:val="22"/>
                <w:lang w:bidi="ar-SA"/>
              </w:rPr>
              <w:t xml:space="preserve"> </w:t>
            </w:r>
            <w:r w:rsidR="007521F1">
              <w:rPr>
                <w:szCs w:val="22"/>
                <w:lang w:bidi="ar-SA"/>
              </w:rPr>
              <w:t xml:space="preserve">the applicants </w:t>
            </w:r>
            <w:r w:rsidR="007521F1" w:rsidRPr="0017158E">
              <w:rPr>
                <w:szCs w:val="22"/>
                <w:lang w:bidi="ar-SA"/>
              </w:rPr>
              <w:t>2ʹ-FL</w:t>
            </w:r>
            <w:r w:rsidR="007521F1">
              <w:rPr>
                <w:szCs w:val="22"/>
                <w:lang w:bidi="ar-SA"/>
              </w:rPr>
              <w:t xml:space="preserve"> product </w:t>
            </w:r>
            <w:r w:rsidR="007521F1">
              <w:t>against the EU specification (see SD1)</w:t>
            </w:r>
            <w:r>
              <w:t>. That assessment confirmed that</w:t>
            </w:r>
            <w:r w:rsidR="007521F1">
              <w:t xml:space="preserve"> the final product </w:t>
            </w:r>
            <w:r w:rsidR="007521F1" w:rsidRPr="0017158E">
              <w:rPr>
                <w:szCs w:val="22"/>
                <w:lang w:bidi="ar-SA"/>
              </w:rPr>
              <w:t xml:space="preserve">is consistently within the proposed </w:t>
            </w:r>
            <w:r w:rsidR="007521F1">
              <w:rPr>
                <w:szCs w:val="22"/>
                <w:lang w:bidi="ar-SA"/>
              </w:rPr>
              <w:t>specification</w:t>
            </w:r>
            <w:r w:rsidR="007521F1" w:rsidRPr="0017158E">
              <w:rPr>
                <w:szCs w:val="22"/>
                <w:lang w:bidi="ar-SA"/>
              </w:rPr>
              <w:t>.</w:t>
            </w:r>
          </w:p>
          <w:p w14:paraId="3218176E" w14:textId="367E0036" w:rsidR="007521F1" w:rsidRPr="006976DB" w:rsidRDefault="007521F1" w:rsidP="007521F1">
            <w:pPr>
              <w:widowControl/>
              <w:spacing w:before="120" w:after="120"/>
              <w:rPr>
                <w:rFonts w:eastAsia="Times New Roman" w:cs="Times New Roman"/>
                <w:szCs w:val="22"/>
                <w:lang w:val="en-GB" w:bidi="ar-SA"/>
              </w:rPr>
            </w:pPr>
            <w:r>
              <w:rPr>
                <w:rFonts w:eastAsia="Times New Roman" w:cs="Times New Roman"/>
                <w:szCs w:val="22"/>
                <w:lang w:val="en-GB" w:bidi="ar-SA"/>
              </w:rPr>
              <w:t>For more information, see section 3.2 of this report.</w:t>
            </w:r>
          </w:p>
        </w:tc>
      </w:tr>
      <w:tr w:rsidR="00296F37" w:rsidRPr="00296F37" w14:paraId="729C9AFD" w14:textId="77777777" w:rsidTr="00296F37">
        <w:trPr>
          <w:trHeight w:val="346"/>
        </w:trPr>
        <w:tc>
          <w:tcPr>
            <w:tcW w:w="5608" w:type="dxa"/>
          </w:tcPr>
          <w:p w14:paraId="3F753DB8" w14:textId="77777777" w:rsidR="00296F37" w:rsidRPr="00296F37" w:rsidRDefault="00296F37" w:rsidP="00296F37">
            <w:pPr>
              <w:widowControl/>
              <w:spacing w:before="120" w:after="120"/>
              <w:rPr>
                <w:b/>
                <w:szCs w:val="22"/>
                <w:lang w:bidi="ar-SA"/>
              </w:rPr>
            </w:pPr>
            <w:r w:rsidRPr="00296F37">
              <w:rPr>
                <w:b/>
                <w:szCs w:val="22"/>
                <w:lang w:bidi="ar-SA"/>
              </w:rPr>
              <w:t>Harmonisation and consistency of specifications and definitions</w:t>
            </w:r>
          </w:p>
          <w:p w14:paraId="0FCD8DD2" w14:textId="7B0B9CFA" w:rsidR="00296F37" w:rsidRPr="00296F37" w:rsidRDefault="00296F37" w:rsidP="00296F37">
            <w:pPr>
              <w:widowControl/>
              <w:spacing w:before="120" w:after="120"/>
              <w:rPr>
                <w:szCs w:val="22"/>
                <w:lang w:bidi="ar-SA"/>
              </w:rPr>
            </w:pPr>
            <w:r w:rsidRPr="00296F37">
              <w:rPr>
                <w:szCs w:val="22"/>
                <w:lang w:bidi="ar-SA"/>
              </w:rPr>
              <w:lastRenderedPageBreak/>
              <w:t xml:space="preserve">Industry submitters recommend one entry for </w:t>
            </w:r>
            <w:r w:rsidR="00A476B5">
              <w:rPr>
                <w:szCs w:val="22"/>
                <w:lang w:bidi="ar-SA"/>
              </w:rPr>
              <w:t>2′-FL</w:t>
            </w:r>
            <w:r w:rsidRPr="00296F37">
              <w:rPr>
                <w:szCs w:val="22"/>
                <w:lang w:bidi="ar-SA"/>
              </w:rPr>
              <w:t xml:space="preserve"> from microbial sources with one definition. This is the case in the EU novel food list in which </w:t>
            </w:r>
            <w:r w:rsidR="00A476B5">
              <w:rPr>
                <w:szCs w:val="22"/>
                <w:lang w:bidi="ar-SA"/>
              </w:rPr>
              <w:t>2′-FL</w:t>
            </w:r>
            <w:r w:rsidRPr="00296F37">
              <w:rPr>
                <w:szCs w:val="22"/>
                <w:lang w:bidi="ar-SA"/>
              </w:rPr>
              <w:t xml:space="preserve"> from microbial sources has one definition, followed by information relating to the two permitted sources.</w:t>
            </w:r>
          </w:p>
          <w:p w14:paraId="1CD5F778" w14:textId="6BD7655D" w:rsidR="00426606" w:rsidRDefault="00296F37" w:rsidP="00296F37">
            <w:pPr>
              <w:widowControl/>
              <w:spacing w:before="120" w:after="120"/>
              <w:rPr>
                <w:szCs w:val="22"/>
                <w:lang w:bidi="ar-SA"/>
              </w:rPr>
            </w:pPr>
            <w:r w:rsidRPr="00296F37">
              <w:rPr>
                <w:szCs w:val="22"/>
                <w:lang w:bidi="ar-SA"/>
              </w:rPr>
              <w:t xml:space="preserve">A common specification could be adopted for all </w:t>
            </w:r>
            <w:r w:rsidR="00A476B5">
              <w:rPr>
                <w:szCs w:val="22"/>
                <w:lang w:bidi="ar-SA"/>
              </w:rPr>
              <w:t>2′-FL</w:t>
            </w:r>
            <w:r w:rsidRPr="00296F37">
              <w:rPr>
                <w:szCs w:val="22"/>
                <w:lang w:bidi="ar-SA"/>
              </w:rPr>
              <w:t xml:space="preserve"> from </w:t>
            </w:r>
            <w:r w:rsidRPr="00296F37">
              <w:rPr>
                <w:i/>
                <w:szCs w:val="22"/>
                <w:lang w:bidi="ar-SA"/>
              </w:rPr>
              <w:t>E. Coli</w:t>
            </w:r>
            <w:r w:rsidRPr="00296F37">
              <w:rPr>
                <w:szCs w:val="22"/>
                <w:lang w:bidi="ar-SA"/>
              </w:rPr>
              <w:t xml:space="preserve"> K</w:t>
            </w:r>
            <w:r w:rsidR="000C6989">
              <w:rPr>
                <w:szCs w:val="22"/>
                <w:lang w:bidi="ar-SA"/>
              </w:rPr>
              <w:t>-</w:t>
            </w:r>
            <w:r w:rsidRPr="00296F37">
              <w:rPr>
                <w:szCs w:val="22"/>
                <w:lang w:bidi="ar-SA"/>
              </w:rPr>
              <w:t xml:space="preserve">12 simplifying regulations for jurisdictions and industry and </w:t>
            </w:r>
            <w:r w:rsidR="00C3265D" w:rsidRPr="00296F37">
              <w:rPr>
                <w:szCs w:val="22"/>
                <w:lang w:bidi="ar-SA"/>
              </w:rPr>
              <w:t>minimis</w:t>
            </w:r>
            <w:r w:rsidR="00C3265D">
              <w:rPr>
                <w:szCs w:val="22"/>
                <w:lang w:bidi="ar-SA"/>
              </w:rPr>
              <w:t>ing</w:t>
            </w:r>
            <w:r w:rsidR="00C3265D" w:rsidRPr="00296F37">
              <w:rPr>
                <w:szCs w:val="22"/>
                <w:lang w:bidi="ar-SA"/>
              </w:rPr>
              <w:t xml:space="preserve"> </w:t>
            </w:r>
            <w:r w:rsidRPr="00296F37">
              <w:rPr>
                <w:szCs w:val="22"/>
                <w:lang w:bidi="ar-SA"/>
              </w:rPr>
              <w:t>future resources and costs for all parties. This is particularly true if the list of approved sources continues to expand</w:t>
            </w:r>
            <w:r w:rsidR="00C3265D">
              <w:rPr>
                <w:szCs w:val="22"/>
                <w:lang w:bidi="ar-SA"/>
              </w:rPr>
              <w:t>.</w:t>
            </w:r>
          </w:p>
          <w:p w14:paraId="5BC659D3" w14:textId="75EB001B" w:rsidR="00296F37" w:rsidRPr="00296F37" w:rsidRDefault="00426606" w:rsidP="00AA24AE">
            <w:pPr>
              <w:widowControl/>
              <w:spacing w:before="120" w:after="120"/>
              <w:rPr>
                <w:szCs w:val="22"/>
                <w:lang w:bidi="ar-SA"/>
              </w:rPr>
            </w:pPr>
            <w:r w:rsidRPr="00296F37">
              <w:rPr>
                <w:szCs w:val="22"/>
                <w:lang w:bidi="ar-SA"/>
              </w:rPr>
              <w:t xml:space="preserve">In the EU, specifications are not restricted by the donor gene but only by the host organism. In this </w:t>
            </w:r>
            <w:r w:rsidR="00DF6DB2">
              <w:rPr>
                <w:szCs w:val="22"/>
                <w:lang w:bidi="ar-SA"/>
              </w:rPr>
              <w:t>application</w:t>
            </w:r>
            <w:r w:rsidRPr="00296F37">
              <w:rPr>
                <w:szCs w:val="22"/>
                <w:lang w:bidi="ar-SA"/>
              </w:rPr>
              <w:t>, FSANZ is proposing specifications that are restricted by both (</w:t>
            </w:r>
            <w:r w:rsidRPr="00296F37">
              <w:rPr>
                <w:i/>
                <w:szCs w:val="22"/>
                <w:lang w:bidi="ar-SA"/>
              </w:rPr>
              <w:t>E. coli</w:t>
            </w:r>
            <w:r w:rsidRPr="00296F37">
              <w:rPr>
                <w:szCs w:val="22"/>
                <w:lang w:bidi="ar-SA"/>
              </w:rPr>
              <w:t xml:space="preserve"> K-12 and </w:t>
            </w:r>
            <w:r w:rsidRPr="00296F37">
              <w:rPr>
                <w:i/>
                <w:szCs w:val="22"/>
                <w:lang w:bidi="ar-SA"/>
              </w:rPr>
              <w:t>Bacteroides vulgatus</w:t>
            </w:r>
            <w:r w:rsidRPr="00296F37">
              <w:rPr>
                <w:szCs w:val="22"/>
                <w:lang w:bidi="ar-SA"/>
              </w:rPr>
              <w:t xml:space="preserve">). However, the EU specifications that form the basis of the proposed specifications are not representative of the </w:t>
            </w:r>
            <w:r w:rsidR="00DF6DB2">
              <w:rPr>
                <w:szCs w:val="22"/>
                <w:lang w:bidi="ar-SA"/>
              </w:rPr>
              <w:t>applicant</w:t>
            </w:r>
            <w:r w:rsidRPr="00296F37">
              <w:rPr>
                <w:szCs w:val="22"/>
                <w:lang w:bidi="ar-SA"/>
              </w:rPr>
              <w:t xml:space="preserve">s 2′-FL </w:t>
            </w:r>
            <w:r w:rsidR="00AA24AE">
              <w:rPr>
                <w:szCs w:val="22"/>
                <w:lang w:bidi="ar-SA"/>
              </w:rPr>
              <w:t>at</w:t>
            </w:r>
            <w:r w:rsidR="00AA24AE" w:rsidRPr="00296F37">
              <w:rPr>
                <w:szCs w:val="22"/>
                <w:lang w:bidi="ar-SA"/>
              </w:rPr>
              <w:t xml:space="preserve"> </w:t>
            </w:r>
            <w:r w:rsidRPr="00296F37">
              <w:rPr>
                <w:szCs w:val="22"/>
                <w:lang w:bidi="ar-SA"/>
              </w:rPr>
              <w:t>the donor organisms level.</w:t>
            </w:r>
            <w:r w:rsidR="00296F37" w:rsidRPr="00296F37">
              <w:rPr>
                <w:szCs w:val="22"/>
                <w:lang w:bidi="ar-SA"/>
              </w:rPr>
              <w:t xml:space="preserve"> </w:t>
            </w:r>
          </w:p>
        </w:tc>
        <w:tc>
          <w:tcPr>
            <w:tcW w:w="1905" w:type="dxa"/>
          </w:tcPr>
          <w:p w14:paraId="6370D7C1" w14:textId="77777777" w:rsidR="00296F37" w:rsidRPr="00296F37" w:rsidRDefault="00296F37" w:rsidP="00296F37">
            <w:pPr>
              <w:widowControl/>
              <w:spacing w:before="120" w:after="120"/>
              <w:rPr>
                <w:szCs w:val="22"/>
                <w:lang w:bidi="ar-SA"/>
              </w:rPr>
            </w:pPr>
            <w:r w:rsidRPr="00296F37">
              <w:rPr>
                <w:szCs w:val="22"/>
                <w:lang w:bidi="ar-SA"/>
              </w:rPr>
              <w:lastRenderedPageBreak/>
              <w:t>AFGC, INC, DSM, Nutricia, Nestle, NZFGC</w:t>
            </w:r>
          </w:p>
        </w:tc>
        <w:tc>
          <w:tcPr>
            <w:tcW w:w="5917" w:type="dxa"/>
          </w:tcPr>
          <w:p w14:paraId="3874208B" w14:textId="7255F539" w:rsidR="00426606" w:rsidRDefault="00426606" w:rsidP="00426606">
            <w:pPr>
              <w:widowControl/>
              <w:spacing w:before="120" w:after="120"/>
              <w:rPr>
                <w:szCs w:val="22"/>
                <w:lang w:bidi="ar-SA"/>
              </w:rPr>
            </w:pPr>
            <w:r>
              <w:rPr>
                <w:szCs w:val="22"/>
                <w:lang w:bidi="ar-SA"/>
              </w:rPr>
              <w:t xml:space="preserve">Post consultation, </w:t>
            </w:r>
            <w:r w:rsidR="00A00CE5">
              <w:rPr>
                <w:szCs w:val="22"/>
                <w:lang w:bidi="ar-SA"/>
              </w:rPr>
              <w:t xml:space="preserve">and for the reasons set out in this report, </w:t>
            </w:r>
            <w:r>
              <w:rPr>
                <w:szCs w:val="22"/>
                <w:lang w:bidi="ar-SA"/>
              </w:rPr>
              <w:t>FSANZ determined the best approach is to adopt a single specification</w:t>
            </w:r>
            <w:r w:rsidR="002D39DA">
              <w:rPr>
                <w:szCs w:val="22"/>
                <w:lang w:bidi="ar-SA"/>
              </w:rPr>
              <w:t xml:space="preserve"> with parameters in line with the </w:t>
            </w:r>
            <w:r w:rsidR="00271FCF">
              <w:rPr>
                <w:szCs w:val="22"/>
                <w:lang w:bidi="ar-SA"/>
              </w:rPr>
              <w:t xml:space="preserve">2019 </w:t>
            </w:r>
            <w:r w:rsidR="002D39DA">
              <w:rPr>
                <w:szCs w:val="22"/>
                <w:lang w:bidi="ar-SA"/>
              </w:rPr>
              <w:lastRenderedPageBreak/>
              <w:t>EU specification</w:t>
            </w:r>
            <w:r>
              <w:rPr>
                <w:szCs w:val="22"/>
                <w:lang w:bidi="ar-SA"/>
              </w:rPr>
              <w:t xml:space="preserve"> for </w:t>
            </w:r>
            <w:r>
              <w:rPr>
                <w:i/>
                <w:szCs w:val="22"/>
                <w:lang w:bidi="ar-SA"/>
              </w:rPr>
              <w:t xml:space="preserve">E. coli </w:t>
            </w:r>
            <w:r w:rsidRPr="00A476B5">
              <w:rPr>
                <w:szCs w:val="22"/>
                <w:lang w:bidi="ar-SA"/>
              </w:rPr>
              <w:t>K-12</w:t>
            </w:r>
            <w:r>
              <w:rPr>
                <w:szCs w:val="22"/>
                <w:lang w:bidi="ar-SA"/>
              </w:rPr>
              <w:t xml:space="preserve"> 2</w:t>
            </w:r>
            <w:r w:rsidR="00A476B5">
              <w:rPr>
                <w:szCs w:val="22"/>
                <w:lang w:bidi="ar-SA"/>
              </w:rPr>
              <w:t>ʹ</w:t>
            </w:r>
            <w:r>
              <w:rPr>
                <w:szCs w:val="22"/>
                <w:lang w:bidi="ar-SA"/>
              </w:rPr>
              <w:t xml:space="preserve">-FL sources that are permitted under Schedule 26 (i.e. at the </w:t>
            </w:r>
            <w:r w:rsidR="008D38DF">
              <w:rPr>
                <w:szCs w:val="22"/>
                <w:lang w:bidi="ar-SA"/>
              </w:rPr>
              <w:t xml:space="preserve">gene </w:t>
            </w:r>
            <w:r>
              <w:rPr>
                <w:szCs w:val="22"/>
                <w:lang w:bidi="ar-SA"/>
              </w:rPr>
              <w:t xml:space="preserve">donor organism level). </w:t>
            </w:r>
          </w:p>
          <w:p w14:paraId="4C2352D2" w14:textId="7D2B9DF8" w:rsidR="00426606" w:rsidRDefault="00426606" w:rsidP="00426606">
            <w:pPr>
              <w:widowControl/>
              <w:spacing w:before="120" w:after="120"/>
              <w:rPr>
                <w:szCs w:val="22"/>
                <w:lang w:bidi="ar-SA"/>
              </w:rPr>
            </w:pPr>
            <w:r>
              <w:rPr>
                <w:szCs w:val="22"/>
                <w:lang w:bidi="ar-SA"/>
              </w:rPr>
              <w:t>Batch analyses of</w:t>
            </w:r>
            <w:r w:rsidR="002D39DA">
              <w:rPr>
                <w:szCs w:val="22"/>
                <w:lang w:bidi="ar-SA"/>
              </w:rPr>
              <w:t xml:space="preserve"> the</w:t>
            </w:r>
            <w:r>
              <w:rPr>
                <w:szCs w:val="22"/>
                <w:lang w:bidi="ar-SA"/>
              </w:rPr>
              <w:t xml:space="preserve"> 2</w:t>
            </w:r>
            <w:r w:rsidR="002D39DA">
              <w:rPr>
                <w:szCs w:val="22"/>
                <w:lang w:bidi="ar-SA"/>
              </w:rPr>
              <w:t>ʹ</w:t>
            </w:r>
            <w:r>
              <w:rPr>
                <w:szCs w:val="22"/>
                <w:lang w:bidi="ar-SA"/>
              </w:rPr>
              <w:t xml:space="preserve">-FL products </w:t>
            </w:r>
            <w:r w:rsidR="002D39DA">
              <w:rPr>
                <w:szCs w:val="22"/>
                <w:lang w:bidi="ar-SA"/>
              </w:rPr>
              <w:t xml:space="preserve">from </w:t>
            </w:r>
            <w:r w:rsidR="002D39DA">
              <w:rPr>
                <w:i/>
                <w:szCs w:val="22"/>
                <w:lang w:bidi="ar-SA"/>
              </w:rPr>
              <w:t xml:space="preserve">E. coli </w:t>
            </w:r>
            <w:r w:rsidR="002D39DA" w:rsidRPr="00A476B5">
              <w:rPr>
                <w:szCs w:val="22"/>
                <w:lang w:bidi="ar-SA"/>
              </w:rPr>
              <w:t>K-12</w:t>
            </w:r>
            <w:r w:rsidR="002D39DA">
              <w:rPr>
                <w:szCs w:val="22"/>
                <w:lang w:bidi="ar-SA"/>
              </w:rPr>
              <w:t xml:space="preserve"> </w:t>
            </w:r>
            <w:r>
              <w:rPr>
                <w:szCs w:val="22"/>
                <w:lang w:bidi="ar-SA"/>
              </w:rPr>
              <w:t xml:space="preserve">have been found to consistently comply with this </w:t>
            </w:r>
            <w:r w:rsidR="002D39DA">
              <w:rPr>
                <w:szCs w:val="22"/>
                <w:lang w:bidi="ar-SA"/>
              </w:rPr>
              <w:t>less restrictive EU specification</w:t>
            </w:r>
            <w:r>
              <w:rPr>
                <w:szCs w:val="22"/>
                <w:lang w:bidi="ar-SA"/>
              </w:rPr>
              <w:t xml:space="preserve">. </w:t>
            </w:r>
          </w:p>
          <w:p w14:paraId="7BCC95D2" w14:textId="78174A40" w:rsidR="00296F37" w:rsidRPr="006976DB" w:rsidRDefault="007521F1" w:rsidP="00426606">
            <w:pPr>
              <w:widowControl/>
              <w:spacing w:before="120" w:after="120"/>
              <w:rPr>
                <w:rFonts w:eastAsia="Times New Roman" w:cs="Times New Roman"/>
                <w:szCs w:val="22"/>
                <w:lang w:val="en-GB" w:bidi="ar-SA"/>
              </w:rPr>
            </w:pPr>
            <w:r>
              <w:rPr>
                <w:rFonts w:eastAsia="Times New Roman" w:cs="Times New Roman"/>
                <w:szCs w:val="22"/>
                <w:lang w:val="en-GB" w:bidi="ar-SA"/>
              </w:rPr>
              <w:t>For more information, see section 3.2 of this report.</w:t>
            </w:r>
          </w:p>
        </w:tc>
      </w:tr>
    </w:tbl>
    <w:p w14:paraId="482D4637" w14:textId="77777777" w:rsidR="00296F37" w:rsidRPr="00296F37" w:rsidRDefault="00296F37" w:rsidP="00296F37">
      <w:pPr>
        <w:rPr>
          <w:lang w:bidi="ar-SA"/>
        </w:rPr>
      </w:pPr>
    </w:p>
    <w:p w14:paraId="1964B9EC" w14:textId="33747E70" w:rsidR="000B74E8" w:rsidRDefault="000B74E8" w:rsidP="000B74E8">
      <w:bookmarkStart w:id="70" w:name="_Toc73104823"/>
      <w:bookmarkStart w:id="71" w:name="_Toc77338770"/>
      <w:bookmarkStart w:id="72" w:name="_Toc370223473"/>
      <w:bookmarkStart w:id="73" w:name="_Toc370225388"/>
      <w:bookmarkStart w:id="74" w:name="_Toc175381450"/>
      <w:bookmarkEnd w:id="64"/>
      <w:bookmarkEnd w:id="65"/>
      <w:bookmarkEnd w:id="66"/>
      <w:bookmarkEnd w:id="67"/>
      <w:bookmarkEnd w:id="68"/>
      <w:bookmarkEnd w:id="69"/>
      <w:r>
        <w:br w:type="page"/>
      </w:r>
    </w:p>
    <w:p w14:paraId="28F65430" w14:textId="77777777" w:rsidR="000B74E8" w:rsidRDefault="000B74E8" w:rsidP="000B74E8">
      <w:pPr>
        <w:sectPr w:rsidR="000B74E8" w:rsidSect="000B74E8">
          <w:pgSz w:w="16838" w:h="11906" w:orient="landscape" w:code="9"/>
          <w:pgMar w:top="1418" w:right="1418" w:bottom="1418" w:left="1418" w:header="709" w:footer="709" w:gutter="0"/>
          <w:cols w:space="708"/>
          <w:docGrid w:linePitch="360"/>
        </w:sectPr>
      </w:pPr>
    </w:p>
    <w:p w14:paraId="2897A64A" w14:textId="6786577B" w:rsidR="00A7422F" w:rsidRPr="00DE5CC1" w:rsidRDefault="00246EBF" w:rsidP="00246EBF">
      <w:pPr>
        <w:pStyle w:val="Heading2"/>
      </w:pPr>
      <w:bookmarkStart w:id="75" w:name="_Toc100402950"/>
      <w:r>
        <w:lastRenderedPageBreak/>
        <w:t>2.</w:t>
      </w:r>
      <w:r w:rsidR="00B67FD8">
        <w:t>2</w:t>
      </w:r>
      <w:r w:rsidR="00A7422F" w:rsidRPr="00DE5CC1">
        <w:tab/>
      </w:r>
      <w:bookmarkEnd w:id="70"/>
      <w:bookmarkEnd w:id="71"/>
      <w:r w:rsidR="00296F37">
        <w:t xml:space="preserve">Food technology and safety </w:t>
      </w:r>
      <w:r w:rsidR="00296F37" w:rsidRPr="0060091E">
        <w:t>assessment</w:t>
      </w:r>
      <w:bookmarkEnd w:id="75"/>
    </w:p>
    <w:p w14:paraId="5314CA67" w14:textId="340C3B67" w:rsidR="00296F37" w:rsidRPr="00296F37" w:rsidRDefault="00296F37" w:rsidP="00296F37">
      <w:pPr>
        <w:rPr>
          <w:bCs/>
        </w:rPr>
      </w:pPr>
      <w:r w:rsidRPr="00296F37">
        <w:rPr>
          <w:bCs/>
        </w:rPr>
        <w:t>The Code already permits 2</w:t>
      </w:r>
      <w:r w:rsidRPr="00296F37">
        <w:rPr>
          <w:lang w:val="en-AU"/>
        </w:rPr>
        <w:t>′</w:t>
      </w:r>
      <w:r w:rsidR="003C6622">
        <w:rPr>
          <w:bCs/>
        </w:rPr>
        <w:t xml:space="preserve">-FL from </w:t>
      </w:r>
      <w:r w:rsidRPr="00296F37">
        <w:rPr>
          <w:bCs/>
        </w:rPr>
        <w:t xml:space="preserve">different </w:t>
      </w:r>
      <w:r w:rsidR="00B607A3">
        <w:rPr>
          <w:bCs/>
        </w:rPr>
        <w:t>production strains</w:t>
      </w:r>
      <w:r w:rsidRPr="00296F37">
        <w:rPr>
          <w:bCs/>
        </w:rPr>
        <w:t xml:space="preserve"> for addition to IFP. </w:t>
      </w:r>
      <w:r w:rsidRPr="00296F37">
        <w:t>The maximum permitted level is 96 mg/100 kJ, equivalent to 2.4 g/L.</w:t>
      </w:r>
      <w:r w:rsidRPr="00296F37">
        <w:rPr>
          <w:bCs/>
        </w:rPr>
        <w:t xml:space="preserve"> The purpose of the present assessment is therefore to assess the safety of 2′-FL </w:t>
      </w:r>
      <w:r w:rsidR="001933FC">
        <w:rPr>
          <w:bCs/>
        </w:rPr>
        <w:t>derived from</w:t>
      </w:r>
      <w:r w:rsidRPr="00296F37">
        <w:rPr>
          <w:bCs/>
        </w:rPr>
        <w:t xml:space="preserve"> </w:t>
      </w:r>
      <w:r w:rsidR="00B607A3">
        <w:rPr>
          <w:bCs/>
        </w:rPr>
        <w:t>the applicant’s production strain</w:t>
      </w:r>
      <w:r w:rsidRPr="00296F37">
        <w:rPr>
          <w:bCs/>
        </w:rPr>
        <w:t>.</w:t>
      </w:r>
    </w:p>
    <w:p w14:paraId="5FA5B42C" w14:textId="132138C8" w:rsidR="00296F37" w:rsidRPr="00296F37" w:rsidRDefault="00296F37" w:rsidP="00296F37">
      <w:r w:rsidRPr="00296F37">
        <w:t xml:space="preserve">2′-FL </w:t>
      </w:r>
      <w:r w:rsidR="001933FC">
        <w:t>derived from</w:t>
      </w:r>
      <w:r w:rsidRPr="00296F37">
        <w:t xml:space="preserve"> </w:t>
      </w:r>
      <w:r w:rsidR="00B607A3">
        <w:t xml:space="preserve">the production strain </w:t>
      </w:r>
      <w:r w:rsidRPr="00296F37">
        <w:t xml:space="preserve">is chemically and structurally identical to the naturally occurring substance isolated from human milk. Stability studies conducted by the </w:t>
      </w:r>
      <w:r w:rsidR="00DF6DB2">
        <w:t>applicant</w:t>
      </w:r>
      <w:r w:rsidRPr="00296F37">
        <w:t xml:space="preserve"> demonstrated that the final product is suited for the intended food uses. The </w:t>
      </w:r>
      <w:r w:rsidR="00DF6DB2">
        <w:t>applicant</w:t>
      </w:r>
      <w:r w:rsidRPr="00296F37">
        <w:t xml:space="preserve"> has proposed specifications for Schedule 3 of the Code, based on those established in the EU. Multi-batch analyses showed</w:t>
      </w:r>
      <w:r w:rsidRPr="00296F37" w:rsidDel="001E0491">
        <w:t xml:space="preserve"> </w:t>
      </w:r>
      <w:r w:rsidRPr="00296F37">
        <w:t xml:space="preserve">that the final product is consistently within the proposed specifications, with impurities and/or contaminants resulting from the fermentation process either minor or absent. </w:t>
      </w:r>
    </w:p>
    <w:p w14:paraId="72FDE541" w14:textId="4FBC9AE5" w:rsidR="00296F37" w:rsidRPr="00296F37" w:rsidRDefault="00296F37" w:rsidP="00296F37">
      <w:r w:rsidRPr="00296F37">
        <w:rPr>
          <w:i/>
        </w:rPr>
        <w:t>E. coli</w:t>
      </w:r>
      <w:r w:rsidRPr="00296F37">
        <w:t xml:space="preserve"> K-12 has a long history of use for the production of recombinant proteins and does not pose a risk to humans. Analyses of the gene donors also confirmed there were no safety concerns. Characterisation of the production strain confirmed the expression plasmid carrying the α-1,2-fucosyltransferase gene was both genetically stable and fully functional.</w:t>
      </w:r>
    </w:p>
    <w:p w14:paraId="1150F6B0" w14:textId="4090A2A2" w:rsidR="00296F37" w:rsidRPr="00296F37" w:rsidRDefault="00296F37" w:rsidP="00296F37">
      <w:r w:rsidRPr="00296F37">
        <w:t xml:space="preserve">FSANZ has previously determined that there are no safety concerns associated with the addition of 2′-FL to </w:t>
      </w:r>
      <w:r w:rsidRPr="00296F37">
        <w:rPr>
          <w:bCs/>
        </w:rPr>
        <w:t>IFP</w:t>
      </w:r>
      <w:r w:rsidRPr="00296F37">
        <w:t xml:space="preserve"> at concentrations up to 2.4 g/L, which is within the range of naturally occurring levels in human milk from the majority of women (0.6 – 7.8 g/L). Newly available information relating to previously assessed studies of 2′-FL produced by the </w:t>
      </w:r>
      <w:r w:rsidR="00DF6DB2">
        <w:t>applicant</w:t>
      </w:r>
      <w:r w:rsidRPr="00296F37">
        <w:t xml:space="preserve"> and another manufacturer did not indicate a reason to change this conclusion. </w:t>
      </w:r>
    </w:p>
    <w:p w14:paraId="6A146C04" w14:textId="07D92466" w:rsidR="00296F37" w:rsidRPr="00296F37" w:rsidRDefault="00296F37" w:rsidP="00296F37">
      <w:r w:rsidRPr="00296F37">
        <w:t xml:space="preserve">2′-FL was not genotoxic </w:t>
      </w:r>
      <w:r w:rsidRPr="00296F37">
        <w:rPr>
          <w:i/>
        </w:rPr>
        <w:t>in vitro</w:t>
      </w:r>
      <w:r w:rsidRPr="00296F37">
        <w:t xml:space="preserve"> or </w:t>
      </w:r>
      <w:r w:rsidRPr="00296F37">
        <w:rPr>
          <w:i/>
        </w:rPr>
        <w:t>in vivo</w:t>
      </w:r>
      <w:r w:rsidRPr="00296F37">
        <w:t xml:space="preserve">. No adverse effects were observed in multiple subchronic oral toxicity studies in neonatal rats at doses up to 5000 mg/kg bw/day, or in juvenile and adult rats at doses &gt; 7000 mg/kg bw/day. Three-week studies with neonatal piglets administered formula containing 2′-FL at concentrations up to 4 g/L also found no adverse effects. In human studies, infant formula supplemented with 2′-FL was well tolerated with no significant increases in adverse events. 2′-FL was also well tolerated in studies with children and adults. </w:t>
      </w:r>
      <w:r w:rsidRPr="00EF5027">
        <w:t xml:space="preserve">The proposed </w:t>
      </w:r>
      <w:r w:rsidR="00C979D1" w:rsidRPr="00EF5027">
        <w:t xml:space="preserve">specification for 2ʹ-FL </w:t>
      </w:r>
      <w:r w:rsidR="001933FC">
        <w:t>derived from</w:t>
      </w:r>
      <w:r w:rsidR="00C979D1" w:rsidRPr="00EF5027">
        <w:t xml:space="preserve"> the host organism </w:t>
      </w:r>
      <w:r w:rsidR="00C979D1" w:rsidRPr="00EF5027">
        <w:rPr>
          <w:i/>
        </w:rPr>
        <w:t>E. coli</w:t>
      </w:r>
      <w:r w:rsidR="00C979D1" w:rsidRPr="00EF5027">
        <w:t xml:space="preserve"> K-12 containing the gene</w:t>
      </w:r>
      <w:r w:rsidR="001933FC">
        <w:t xml:space="preserve"> donor</w:t>
      </w:r>
      <w:r w:rsidR="00C979D1" w:rsidRPr="00EF5027">
        <w:t xml:space="preserve"> from either </w:t>
      </w:r>
      <w:r w:rsidR="00C979D1" w:rsidRPr="00EF5027">
        <w:rPr>
          <w:i/>
        </w:rPr>
        <w:t>Helicobacter pylori</w:t>
      </w:r>
      <w:r w:rsidR="00C979D1" w:rsidRPr="00EF5027">
        <w:t xml:space="preserve"> or </w:t>
      </w:r>
      <w:r w:rsidR="00C979D1" w:rsidRPr="00EF5027">
        <w:rPr>
          <w:i/>
        </w:rPr>
        <w:t>Bacteroides vulgatus</w:t>
      </w:r>
      <w:r w:rsidR="00C979D1" w:rsidRPr="00EF5027">
        <w:t xml:space="preserve"> </w:t>
      </w:r>
      <w:r w:rsidRPr="00EF5027">
        <w:t>does not raise any safety concerns.</w:t>
      </w:r>
      <w:r w:rsidR="00C979D1" w:rsidRPr="00C979D1">
        <w:t xml:space="preserve"> </w:t>
      </w:r>
    </w:p>
    <w:p w14:paraId="2C80CA7E" w14:textId="77777777" w:rsidR="00296F37" w:rsidRPr="00296F37" w:rsidRDefault="00296F37" w:rsidP="00296F37">
      <w:r w:rsidRPr="00296F37">
        <w:t>2′-FL is unlikely to pose an allergenicity concern because the protein content of the 2′-FL product is below the limit of quantitation.</w:t>
      </w:r>
    </w:p>
    <w:p w14:paraId="63E512F9" w14:textId="01938483" w:rsidR="00296F37" w:rsidRPr="00296F37" w:rsidRDefault="00296F37" w:rsidP="00296F37">
      <w:r w:rsidRPr="00296F37">
        <w:t xml:space="preserve">FSANZ’s previous assessments of 2′-FL found no evidence of a nutritional concern at concentrations typically observed in human milk. No new information was provided that would indicate a need to change these conclusions. </w:t>
      </w:r>
    </w:p>
    <w:p w14:paraId="5A22E112" w14:textId="7DD60E90" w:rsidR="002C1A3B" w:rsidRPr="00DE5CC1" w:rsidRDefault="00246EBF" w:rsidP="008A70D2">
      <w:pPr>
        <w:pStyle w:val="Heading1"/>
        <w:spacing w:before="360"/>
      </w:pPr>
      <w:bookmarkStart w:id="76" w:name="_Toc100402951"/>
      <w:r>
        <w:t>3</w:t>
      </w:r>
      <w:r>
        <w:tab/>
      </w:r>
      <w:r w:rsidR="002C1A3B" w:rsidRPr="00DE5CC1">
        <w:t>Risk management</w:t>
      </w:r>
      <w:bookmarkEnd w:id="72"/>
      <w:bookmarkEnd w:id="73"/>
      <w:bookmarkEnd w:id="76"/>
    </w:p>
    <w:p w14:paraId="728B0A29" w14:textId="77777777" w:rsidR="00874A0E" w:rsidRDefault="00874A0E" w:rsidP="00510B7A">
      <w:pPr>
        <w:widowControl/>
        <w:spacing w:before="120" w:after="120"/>
      </w:pPr>
      <w:bookmarkStart w:id="77" w:name="_Toc309291814"/>
      <w:bookmarkStart w:id="78" w:name="_Toc370225389"/>
      <w:bookmarkStart w:id="79" w:name="_Toc286391012"/>
      <w:bookmarkEnd w:id="74"/>
      <w:r>
        <w:t xml:space="preserve">Breastfeeding is the recommended way to feed infants. As infants are a vulnerable population group, a safe and nutritious substitute is necessary when breastfeeding is not possible. Before a change in the composition of IFP is permitted, there must be evidence that the change would not pose a risk to the health and safety of consumers of these products, in this case, infants. </w:t>
      </w:r>
    </w:p>
    <w:p w14:paraId="43D6F924" w14:textId="07234854" w:rsidR="00874A0E" w:rsidRDefault="00874A0E" w:rsidP="008365B2">
      <w:pPr>
        <w:pStyle w:val="Heading2"/>
      </w:pPr>
      <w:bookmarkStart w:id="80" w:name="_Toc100402952"/>
      <w:r>
        <w:lastRenderedPageBreak/>
        <w:t>3.1</w:t>
      </w:r>
      <w:r>
        <w:tab/>
      </w:r>
      <w:r w:rsidR="00EF044C">
        <w:t>Consideration of the assessment and final approach</w:t>
      </w:r>
      <w:bookmarkEnd w:id="80"/>
    </w:p>
    <w:p w14:paraId="487FBAAA" w14:textId="47EED872" w:rsidR="00EF044C" w:rsidRDefault="00EF044C" w:rsidP="00EF044C">
      <w:pPr>
        <w:widowControl/>
        <w:spacing w:before="120" w:after="120"/>
      </w:pPr>
      <w:r>
        <w:t xml:space="preserve">The application sought permission for </w:t>
      </w:r>
      <w:r w:rsidR="00B607A3">
        <w:t xml:space="preserve">the production strain to be </w:t>
      </w:r>
      <w:r w:rsidR="00B607A3" w:rsidRPr="00EF5027">
        <w:rPr>
          <w:i/>
        </w:rPr>
        <w:t>used</w:t>
      </w:r>
      <w:r w:rsidRPr="00B607A3">
        <w:rPr>
          <w:i/>
        </w:rPr>
        <w:t xml:space="preserve"> </w:t>
      </w:r>
      <w:r w:rsidRPr="002F37D6">
        <w:rPr>
          <w:i/>
        </w:rPr>
        <w:t>as a nutritive substance</w:t>
      </w:r>
      <w:r w:rsidR="003C6622">
        <w:t xml:space="preserve"> in IFP</w:t>
      </w:r>
      <w:r>
        <w:t xml:space="preserve">. </w:t>
      </w:r>
    </w:p>
    <w:p w14:paraId="5B932768" w14:textId="28435B2B" w:rsidR="00874A0E" w:rsidRDefault="00B607A3" w:rsidP="00EF044C">
      <w:pPr>
        <w:widowControl/>
        <w:spacing w:before="120" w:after="120"/>
      </w:pPr>
      <w:r w:rsidRPr="002F37D6">
        <w:t>The production strain</w:t>
      </w:r>
      <w:r w:rsidR="00874A0E">
        <w:t xml:space="preserve"> is a </w:t>
      </w:r>
      <w:r w:rsidR="00874A0E" w:rsidRPr="002F37D6">
        <w:rPr>
          <w:i/>
        </w:rPr>
        <w:t>food produced using gene technology</w:t>
      </w:r>
      <w:r w:rsidR="00874A0E">
        <w:t xml:space="preserve"> for Code purposes as it is derived from ‘an organism that has been m</w:t>
      </w:r>
      <w:r w:rsidR="009F50CE">
        <w:t>odified using gene technology’.</w:t>
      </w:r>
    </w:p>
    <w:p w14:paraId="5A07C1DC" w14:textId="656B2718" w:rsidR="00DE31E2" w:rsidRDefault="00DE31E2" w:rsidP="00DE31E2">
      <w:pPr>
        <w:spacing w:before="120" w:after="120"/>
      </w:pPr>
      <w:r>
        <w:t>The</w:t>
      </w:r>
      <w:r w:rsidRPr="00E72505">
        <w:t xml:space="preserve"> </w:t>
      </w:r>
      <w:r w:rsidR="00210F83">
        <w:t xml:space="preserve">approved </w:t>
      </w:r>
      <w:r w:rsidRPr="00E72505">
        <w:t xml:space="preserve">draft variation </w:t>
      </w:r>
      <w:r w:rsidR="00210F83">
        <w:t>will</w:t>
      </w:r>
      <w:r>
        <w:t xml:space="preserve"> </w:t>
      </w:r>
      <w:r w:rsidRPr="00E72505">
        <w:t xml:space="preserve">permit the voluntary addition of 2′-FL derived from </w:t>
      </w:r>
      <w:r w:rsidRPr="000F77C7">
        <w:rPr>
          <w:i/>
        </w:rPr>
        <w:t>E. coli</w:t>
      </w:r>
      <w:r w:rsidRPr="00E72505">
        <w:t xml:space="preserve"> K-12 containing the gene for alpha-1,2-fucosyltransferase from </w:t>
      </w:r>
      <w:r w:rsidRPr="000F77C7">
        <w:rPr>
          <w:i/>
        </w:rPr>
        <w:t>Bacteroides vulgatus</w:t>
      </w:r>
      <w:r w:rsidRPr="00E72505">
        <w:t xml:space="preserve"> to IFP. </w:t>
      </w:r>
      <w:r>
        <w:t>T</w:t>
      </w:r>
      <w:r w:rsidRPr="00E72505">
        <w:t xml:space="preserve">he </w:t>
      </w:r>
      <w:r w:rsidR="00210F83">
        <w:t xml:space="preserve">approved </w:t>
      </w:r>
      <w:r>
        <w:t>draft variation does not specify</w:t>
      </w:r>
      <w:r w:rsidRPr="00E72505">
        <w:t xml:space="preserve"> the </w:t>
      </w:r>
      <w:r>
        <w:t xml:space="preserve">applicant’s specific </w:t>
      </w:r>
      <w:r w:rsidRPr="00983E7F">
        <w:rPr>
          <w:i/>
        </w:rPr>
        <w:t xml:space="preserve">E. coli </w:t>
      </w:r>
      <w:r>
        <w:t xml:space="preserve">K-12 </w:t>
      </w:r>
      <w:r w:rsidRPr="00E72505">
        <w:t>strain</w:t>
      </w:r>
      <w:r>
        <w:t xml:space="preserve"> (i.e. E997) to be used as the production organism as this is not necessary from a safety perspective. Specifying</w:t>
      </w:r>
      <w:r w:rsidR="00210F83">
        <w:t xml:space="preserve"> only</w:t>
      </w:r>
      <w:r>
        <w:t xml:space="preserve"> the host and donor organisms </w:t>
      </w:r>
      <w:r w:rsidRPr="00E72505">
        <w:t>provide</w:t>
      </w:r>
      <w:r>
        <w:t>s</w:t>
      </w:r>
      <w:r w:rsidRPr="00E72505">
        <w:t xml:space="preserve"> greater flexibility </w:t>
      </w:r>
      <w:r>
        <w:t>for</w:t>
      </w:r>
      <w:r w:rsidRPr="00E72505">
        <w:t xml:space="preserve"> strain improvement and is consistent with </w:t>
      </w:r>
      <w:r>
        <w:t>existing</w:t>
      </w:r>
      <w:r w:rsidRPr="00E72505">
        <w:t xml:space="preserve"> permissions in the Code</w:t>
      </w:r>
      <w:r>
        <w:t xml:space="preserve"> for </w:t>
      </w:r>
      <w:r w:rsidRPr="00E72505">
        <w:t>2′-FL.</w:t>
      </w:r>
    </w:p>
    <w:p w14:paraId="36523BD2" w14:textId="119E6756" w:rsidR="0017158E" w:rsidRDefault="00874A0E" w:rsidP="00510B7A">
      <w:pPr>
        <w:widowControl/>
        <w:spacing w:before="120" w:after="120"/>
      </w:pPr>
      <w:r>
        <w:t xml:space="preserve">Given 2′-FL </w:t>
      </w:r>
      <w:r w:rsidR="00DE31E2">
        <w:t xml:space="preserve">derived from </w:t>
      </w:r>
      <w:r w:rsidR="00DE31E2" w:rsidRPr="002F37D6">
        <w:t>the production strain</w:t>
      </w:r>
      <w:r w:rsidRPr="00DE31E2">
        <w:t xml:space="preserve"> </w:t>
      </w:r>
      <w:r>
        <w:t xml:space="preserve">is a </w:t>
      </w:r>
      <w:r w:rsidRPr="002F37D6">
        <w:rPr>
          <w:i/>
        </w:rPr>
        <w:t>food produced using gene technology</w:t>
      </w:r>
      <w:r w:rsidR="00C63929">
        <w:t>,</w:t>
      </w:r>
      <w:r>
        <w:t xml:space="preserve"> and noting the </w:t>
      </w:r>
      <w:r w:rsidR="00C26C63">
        <w:t>applicant did</w:t>
      </w:r>
      <w:r w:rsidDel="00C26C63">
        <w:t xml:space="preserve"> </w:t>
      </w:r>
      <w:r>
        <w:t xml:space="preserve">not request any changes to current permissions in the Code for 2′-FL, FSANZ considers that 2′-FL </w:t>
      </w:r>
      <w:r w:rsidR="00DE31E2">
        <w:t xml:space="preserve">derived </w:t>
      </w:r>
      <w:r>
        <w:t xml:space="preserve">from </w:t>
      </w:r>
      <w:r w:rsidR="008304C8" w:rsidRPr="000F77C7">
        <w:rPr>
          <w:i/>
        </w:rPr>
        <w:t>E. coli</w:t>
      </w:r>
      <w:r w:rsidR="008304C8" w:rsidRPr="00E72505">
        <w:t xml:space="preserve"> K-12 containing the gene for alpha-1,2-fucosyltransferase from </w:t>
      </w:r>
      <w:r w:rsidR="008304C8" w:rsidRPr="000F77C7">
        <w:rPr>
          <w:i/>
        </w:rPr>
        <w:t>Bacteroides vulgatus</w:t>
      </w:r>
      <w:r w:rsidR="008304C8" w:rsidRPr="00E72505">
        <w:t xml:space="preserve"> </w:t>
      </w:r>
      <w:r>
        <w:t>meet</w:t>
      </w:r>
      <w:r w:rsidR="005F4230">
        <w:t>s</w:t>
      </w:r>
      <w:r>
        <w:t xml:space="preserve"> requirements under Standard 2.9.1 and Schedule 29</w:t>
      </w:r>
      <w:r w:rsidR="0017158E">
        <w:t xml:space="preserve"> </w:t>
      </w:r>
      <w:r>
        <w:t xml:space="preserve">to be used as a nutritive </w:t>
      </w:r>
      <w:r w:rsidR="00DE31E2">
        <w:t xml:space="preserve">substance </w:t>
      </w:r>
      <w:r>
        <w:t>at the permitted level of 96 mg/100 kJ in IFP.</w:t>
      </w:r>
    </w:p>
    <w:p w14:paraId="1647F0BB" w14:textId="56BCF629" w:rsidR="00F11558" w:rsidRDefault="00437342" w:rsidP="00437342">
      <w:pPr>
        <w:pStyle w:val="Heading2"/>
      </w:pPr>
      <w:bookmarkStart w:id="81" w:name="_Toc100402953"/>
      <w:r>
        <w:t>3.2</w:t>
      </w:r>
      <w:r>
        <w:tab/>
      </w:r>
      <w:r w:rsidR="00641210">
        <w:t>S</w:t>
      </w:r>
      <w:r>
        <w:t>pecification for permitted 2′-FL</w:t>
      </w:r>
      <w:r w:rsidRPr="009F50CE">
        <w:rPr>
          <w:i/>
        </w:rPr>
        <w:t xml:space="preserve"> </w:t>
      </w:r>
      <w:r>
        <w:t xml:space="preserve">from </w:t>
      </w:r>
      <w:r w:rsidRPr="009F50CE">
        <w:rPr>
          <w:i/>
        </w:rPr>
        <w:t xml:space="preserve">E. coli </w:t>
      </w:r>
      <w:r w:rsidRPr="009F50CE">
        <w:t>K-12</w:t>
      </w:r>
      <w:bookmarkEnd w:id="81"/>
    </w:p>
    <w:p w14:paraId="3024B0B2" w14:textId="77777777" w:rsidR="008304C8" w:rsidRDefault="008304C8" w:rsidP="008304C8">
      <w:r>
        <w:t>All 2</w:t>
      </w:r>
      <w:r>
        <w:rPr>
          <w:rFonts w:cs="Arial"/>
        </w:rPr>
        <w:t>ʹ</w:t>
      </w:r>
      <w:r>
        <w:t xml:space="preserve">-FL products assessed by FSANZ to date have had unique specifications related to an applicant’s proprietary manufacturing processes. This reflects in part statutory application requirements which state that certain applications (eg, one seeking a nutritive substance permission) should include a proposed specification where there is no relevant specification </w:t>
      </w:r>
      <w:r w:rsidRPr="00253B81">
        <w:t>identified in Schedule 3</w:t>
      </w:r>
      <w:r>
        <w:t xml:space="preserve">.  </w:t>
      </w:r>
    </w:p>
    <w:p w14:paraId="07E79282" w14:textId="77777777" w:rsidR="008304C8" w:rsidRDefault="008304C8" w:rsidP="008304C8">
      <w:pPr>
        <w:spacing w:before="120" w:after="120"/>
        <w:rPr>
          <w:szCs w:val="22"/>
          <w:lang w:bidi="ar-SA"/>
        </w:rPr>
      </w:pPr>
      <w:r>
        <w:t>Specifications included in applications are assessed by FSANZ in accordance with the FSANZ Act. FSANZ, for example, has regard to the proposed specification in its safety assessment and assesses it in terms of safety, intended purpose and efficacy. This process includes consideration of the specific parameters</w:t>
      </w:r>
      <w:r w:rsidRPr="00C219FD">
        <w:t xml:space="preserve"> requested by the </w:t>
      </w:r>
      <w:r>
        <w:t xml:space="preserve">applicant in the specification; </w:t>
      </w:r>
      <w:r w:rsidRPr="00C219FD">
        <w:t xml:space="preserve">whether </w:t>
      </w:r>
      <w:r>
        <w:t>these are</w:t>
      </w:r>
      <w:r w:rsidRPr="00C219FD">
        <w:t xml:space="preserve"> </w:t>
      </w:r>
      <w:r>
        <w:t>consistent with safe use and intended purpose</w:t>
      </w:r>
      <w:r w:rsidRPr="00C219FD">
        <w:t>;</w:t>
      </w:r>
      <w:r>
        <w:rPr>
          <w:b/>
        </w:rPr>
        <w:t xml:space="preserve"> </w:t>
      </w:r>
      <w:r w:rsidRPr="00B1451F">
        <w:t>and</w:t>
      </w:r>
      <w:r>
        <w:rPr>
          <w:b/>
        </w:rPr>
        <w:t xml:space="preserve"> </w:t>
      </w:r>
      <w:r>
        <w:t>whether a product complying with the requested specification</w:t>
      </w:r>
      <w:r w:rsidRPr="00C219FD">
        <w:t xml:space="preserve"> can meet requirements in the Code</w:t>
      </w:r>
      <w:r>
        <w:t>.</w:t>
      </w:r>
      <w:r>
        <w:rPr>
          <w:b/>
        </w:rPr>
        <w:t xml:space="preserve"> </w:t>
      </w:r>
      <w:r>
        <w:t xml:space="preserve">One purpose in setting a specification is to </w:t>
      </w:r>
      <w:r w:rsidRPr="00C219FD">
        <w:rPr>
          <w:szCs w:val="22"/>
          <w:lang w:bidi="ar-SA"/>
        </w:rPr>
        <w:t xml:space="preserve">establish a minimum standard </w:t>
      </w:r>
      <w:r>
        <w:t>to enable</w:t>
      </w:r>
      <w:r w:rsidRPr="00C219FD">
        <w:rPr>
          <w:szCs w:val="22"/>
          <w:lang w:bidi="ar-SA"/>
        </w:rPr>
        <w:t xml:space="preserve"> the safe use of a substance (e.g. </w:t>
      </w:r>
      <w:r>
        <w:t xml:space="preserve">purity requirements, </w:t>
      </w:r>
      <w:r w:rsidRPr="00C219FD">
        <w:rPr>
          <w:szCs w:val="22"/>
          <w:lang w:bidi="ar-SA"/>
        </w:rPr>
        <w:t>limits for contaminants).</w:t>
      </w:r>
    </w:p>
    <w:p w14:paraId="53EC7E38" w14:textId="77777777" w:rsidR="008304C8" w:rsidRDefault="008304C8" w:rsidP="008304C8">
      <w:pPr>
        <w:spacing w:before="120" w:after="120"/>
      </w:pPr>
      <w:r>
        <w:t xml:space="preserve">To date, specification provided with applications have generally reflected the particular manufacturing process for the applicant’s product.  </w:t>
      </w:r>
    </w:p>
    <w:p w14:paraId="1BD92C8A" w14:textId="24487C86" w:rsidR="008304C8" w:rsidRDefault="008304C8" w:rsidP="008304C8">
      <w:pPr>
        <w:spacing w:before="120" w:after="120"/>
        <w:rPr>
          <w:szCs w:val="22"/>
          <w:lang w:bidi="ar-SA"/>
        </w:rPr>
      </w:pPr>
      <w:r>
        <w:t xml:space="preserve">In this case, the </w:t>
      </w:r>
      <w:r>
        <w:rPr>
          <w:szCs w:val="22"/>
          <w:lang w:bidi="ar-SA"/>
        </w:rPr>
        <w:t>applicant</w:t>
      </w:r>
      <w:r w:rsidRPr="0017158E">
        <w:rPr>
          <w:szCs w:val="22"/>
          <w:lang w:bidi="ar-SA"/>
        </w:rPr>
        <w:t xml:space="preserve"> requested that the specification established by the EU</w:t>
      </w:r>
      <w:r>
        <w:rPr>
          <w:szCs w:val="22"/>
          <w:lang w:bidi="ar-SA"/>
        </w:rPr>
        <w:t xml:space="preserve"> in 2016</w:t>
      </w:r>
      <w:r w:rsidRPr="0017158E">
        <w:rPr>
          <w:szCs w:val="22"/>
          <w:lang w:bidi="ar-SA"/>
        </w:rPr>
        <w:t xml:space="preserve"> be </w:t>
      </w:r>
      <w:r>
        <w:t>set for their product</w:t>
      </w:r>
      <w:r w:rsidRPr="0017158E">
        <w:rPr>
          <w:szCs w:val="22"/>
          <w:lang w:bidi="ar-SA"/>
        </w:rPr>
        <w:t xml:space="preserve">. </w:t>
      </w:r>
    </w:p>
    <w:p w14:paraId="7125C14A" w14:textId="793DB75D" w:rsidR="008304C8" w:rsidRDefault="008304C8" w:rsidP="008304C8">
      <w:pPr>
        <w:widowControl/>
        <w:spacing w:before="120" w:after="120"/>
        <w:rPr>
          <w:szCs w:val="22"/>
          <w:lang w:bidi="ar-SA"/>
        </w:rPr>
      </w:pPr>
      <w:r>
        <w:t xml:space="preserve">The </w:t>
      </w:r>
      <w:r w:rsidRPr="0017158E">
        <w:rPr>
          <w:szCs w:val="22"/>
          <w:lang w:bidi="ar-SA"/>
        </w:rPr>
        <w:t xml:space="preserve">most recent EU specification was published in 2019 and FSANZ </w:t>
      </w:r>
      <w:r w:rsidR="000B512F">
        <w:t>therefore</w:t>
      </w:r>
      <w:r w:rsidR="000B512F" w:rsidRPr="0017158E">
        <w:rPr>
          <w:szCs w:val="22"/>
          <w:lang w:bidi="ar-SA"/>
        </w:rPr>
        <w:t xml:space="preserve"> </w:t>
      </w:r>
      <w:r w:rsidRPr="0017158E">
        <w:rPr>
          <w:szCs w:val="22"/>
          <w:lang w:bidi="ar-SA"/>
        </w:rPr>
        <w:t>assessed</w:t>
      </w:r>
      <w:r>
        <w:t xml:space="preserve"> </w:t>
      </w:r>
      <w:r w:rsidRPr="0017158E">
        <w:rPr>
          <w:szCs w:val="22"/>
          <w:lang w:bidi="ar-SA"/>
        </w:rPr>
        <w:t xml:space="preserve">the applicant’s multi-batch analyses against </w:t>
      </w:r>
      <w:r>
        <w:rPr>
          <w:szCs w:val="22"/>
          <w:lang w:bidi="ar-SA"/>
        </w:rPr>
        <w:t>it. The assessment</w:t>
      </w:r>
      <w:r w:rsidRPr="0017158E">
        <w:rPr>
          <w:szCs w:val="22"/>
          <w:lang w:bidi="ar-SA"/>
        </w:rPr>
        <w:t xml:space="preserve"> demonstrated that the final product is consistently within the </w:t>
      </w:r>
      <w:r>
        <w:rPr>
          <w:szCs w:val="22"/>
          <w:lang w:bidi="ar-SA"/>
        </w:rPr>
        <w:t>2019 EU</w:t>
      </w:r>
      <w:r w:rsidRPr="0017158E">
        <w:rPr>
          <w:szCs w:val="22"/>
          <w:lang w:bidi="ar-SA"/>
        </w:rPr>
        <w:t xml:space="preserve"> </w:t>
      </w:r>
      <w:r>
        <w:rPr>
          <w:szCs w:val="22"/>
          <w:lang w:bidi="ar-SA"/>
        </w:rPr>
        <w:t>specification</w:t>
      </w:r>
      <w:r w:rsidRPr="0017158E">
        <w:rPr>
          <w:szCs w:val="22"/>
          <w:lang w:bidi="ar-SA"/>
        </w:rPr>
        <w:t xml:space="preserve">. </w:t>
      </w:r>
    </w:p>
    <w:p w14:paraId="3AF48665" w14:textId="77777777" w:rsidR="008304C8" w:rsidRDefault="008304C8" w:rsidP="008304C8">
      <w:pPr>
        <w:widowControl/>
        <w:spacing w:before="120" w:after="120"/>
      </w:pPr>
      <w:r>
        <w:t xml:space="preserve">We acknowledge stakeholder concerns raised during the call for submissions, including that the current requirement to set individual specifications for similar </w:t>
      </w:r>
      <w:r w:rsidRPr="0017158E">
        <w:rPr>
          <w:szCs w:val="22"/>
          <w:lang w:bidi="ar-SA"/>
        </w:rPr>
        <w:t xml:space="preserve">2ʹ-FL </w:t>
      </w:r>
      <w:r>
        <w:rPr>
          <w:szCs w:val="22"/>
          <w:lang w:bidi="ar-SA"/>
        </w:rPr>
        <w:t xml:space="preserve">products could be simplified, </w:t>
      </w:r>
      <w:r>
        <w:t xml:space="preserve">and have thus sought to clarify our regulatory approach. </w:t>
      </w:r>
    </w:p>
    <w:p w14:paraId="7CDFDE90" w14:textId="677B909C" w:rsidR="002C4747" w:rsidRPr="0017158E" w:rsidRDefault="002C4747" w:rsidP="002C4747">
      <w:pPr>
        <w:widowControl/>
        <w:spacing w:before="120" w:after="120"/>
        <w:rPr>
          <w:szCs w:val="22"/>
          <w:lang w:bidi="ar-SA"/>
        </w:rPr>
      </w:pPr>
      <w:r w:rsidRPr="0017158E">
        <w:rPr>
          <w:szCs w:val="22"/>
          <w:lang w:bidi="ar-SA"/>
        </w:rPr>
        <w:lastRenderedPageBreak/>
        <w:t xml:space="preserve">FSANZ </w:t>
      </w:r>
      <w:r>
        <w:rPr>
          <w:szCs w:val="22"/>
          <w:lang w:bidi="ar-SA"/>
        </w:rPr>
        <w:t>considered</w:t>
      </w:r>
      <w:r w:rsidRPr="0017158E">
        <w:rPr>
          <w:szCs w:val="22"/>
          <w:lang w:bidi="ar-SA"/>
        </w:rPr>
        <w:t xml:space="preserve"> 2ʹ-FL </w:t>
      </w:r>
      <w:r>
        <w:t xml:space="preserve">from </w:t>
      </w:r>
      <w:r w:rsidRPr="0017158E">
        <w:rPr>
          <w:i/>
        </w:rPr>
        <w:t>E. coli</w:t>
      </w:r>
      <w:r>
        <w:t xml:space="preserve"> K-</w:t>
      </w:r>
      <w:r w:rsidRPr="00E72505">
        <w:t xml:space="preserve">12 containing the gene for alpha-1,2-fucosyltransferase from </w:t>
      </w:r>
      <w:r w:rsidRPr="0017158E">
        <w:rPr>
          <w:i/>
        </w:rPr>
        <w:t xml:space="preserve">Helicobacter pylori </w:t>
      </w:r>
      <w:r>
        <w:t xml:space="preserve">(S3—40) against the EU specification (see SD1, </w:t>
      </w:r>
      <w:r w:rsidR="001C1470" w:rsidRPr="001C1470">
        <w:rPr>
          <w:i/>
        </w:rPr>
        <w:t xml:space="preserve">Table 2.3 </w:t>
      </w:r>
      <w:r w:rsidR="00641680">
        <w:rPr>
          <w:i/>
        </w:rPr>
        <w:t>Comparison of</w:t>
      </w:r>
      <w:r w:rsidR="00641680" w:rsidRPr="001C1470">
        <w:rPr>
          <w:i/>
        </w:rPr>
        <w:t xml:space="preserve"> </w:t>
      </w:r>
      <w:r w:rsidR="001C1470" w:rsidRPr="001C1470">
        <w:rPr>
          <w:i/>
        </w:rPr>
        <w:t>specifications for 2′-FL produced from genetically modified E. coli K12</w:t>
      </w:r>
      <w:r>
        <w:t xml:space="preserve">) and identified the final product </w:t>
      </w:r>
      <w:r w:rsidRPr="0017158E">
        <w:rPr>
          <w:szCs w:val="22"/>
          <w:lang w:bidi="ar-SA"/>
        </w:rPr>
        <w:t xml:space="preserve">is consistently within the proposed </w:t>
      </w:r>
      <w:r>
        <w:rPr>
          <w:szCs w:val="22"/>
          <w:lang w:bidi="ar-SA"/>
        </w:rPr>
        <w:t>specification</w:t>
      </w:r>
      <w:r w:rsidRPr="0017158E">
        <w:rPr>
          <w:szCs w:val="22"/>
          <w:lang w:bidi="ar-SA"/>
        </w:rPr>
        <w:t>.</w:t>
      </w:r>
      <w:r>
        <w:rPr>
          <w:szCs w:val="22"/>
          <w:lang w:bidi="ar-SA"/>
        </w:rPr>
        <w:t xml:space="preserve"> FSANZ has considered harmonisation with the EU specification to the extent that is appropriate for the Australia New Zealand regulatory system (including the FSANZ Act requirements) and the Code.</w:t>
      </w:r>
      <w:r w:rsidR="008304C8">
        <w:rPr>
          <w:szCs w:val="22"/>
          <w:lang w:bidi="ar-SA"/>
        </w:rPr>
        <w:t xml:space="preserve"> FSANZ also </w:t>
      </w:r>
      <w:r w:rsidR="008304C8">
        <w:t>consulted the A1155 applicant regarding the change to ‘their’ specification and that they had no objection</w:t>
      </w:r>
      <w:r w:rsidR="00597DE0">
        <w:t>.</w:t>
      </w:r>
    </w:p>
    <w:p w14:paraId="06CB38C7" w14:textId="4C99B5DB" w:rsidR="00DB229B" w:rsidRDefault="007521F1" w:rsidP="007521F1">
      <w:pPr>
        <w:widowControl/>
        <w:spacing w:before="120" w:after="120"/>
        <w:rPr>
          <w:szCs w:val="22"/>
          <w:lang w:bidi="ar-SA"/>
        </w:rPr>
      </w:pPr>
      <w:r>
        <w:t>T</w:t>
      </w:r>
      <w:r w:rsidRPr="0017158E">
        <w:rPr>
          <w:szCs w:val="22"/>
          <w:lang w:bidi="ar-SA"/>
        </w:rPr>
        <w:t xml:space="preserve">he </w:t>
      </w:r>
      <w:r w:rsidR="00210F83">
        <w:rPr>
          <w:szCs w:val="22"/>
          <w:lang w:bidi="ar-SA"/>
        </w:rPr>
        <w:t>approved draft variation</w:t>
      </w:r>
      <w:r>
        <w:rPr>
          <w:szCs w:val="22"/>
          <w:lang w:bidi="ar-SA"/>
        </w:rPr>
        <w:t xml:space="preserve"> </w:t>
      </w:r>
      <w:r w:rsidR="00F2042B">
        <w:rPr>
          <w:szCs w:val="22"/>
          <w:lang w:bidi="ar-SA"/>
        </w:rPr>
        <w:t xml:space="preserve">will </w:t>
      </w:r>
      <w:r w:rsidR="003D32A8">
        <w:rPr>
          <w:szCs w:val="22"/>
          <w:lang w:bidi="ar-SA"/>
        </w:rPr>
        <w:t>repeal s</w:t>
      </w:r>
      <w:r w:rsidR="003D32A8">
        <w:t xml:space="preserve">ection S3—40 and substitute </w:t>
      </w:r>
      <w:r w:rsidR="00BD2C10">
        <w:t xml:space="preserve">it </w:t>
      </w:r>
      <w:r w:rsidR="003D32A8">
        <w:t xml:space="preserve">with a </w:t>
      </w:r>
      <w:r w:rsidR="00895B13">
        <w:t xml:space="preserve">new section and </w:t>
      </w:r>
      <w:r w:rsidR="003D32A8">
        <w:t>specification containing</w:t>
      </w:r>
      <w:r w:rsidR="003D32A8" w:rsidRPr="00EA0F56">
        <w:t xml:space="preserve"> </w:t>
      </w:r>
      <w:r w:rsidR="003D32A8">
        <w:t>parameters</w:t>
      </w:r>
      <w:r w:rsidR="003D32A8" w:rsidRPr="00EA0F56">
        <w:t xml:space="preserve"> consistent with the 2019 EU specification</w:t>
      </w:r>
      <w:r w:rsidR="003D32A8">
        <w:t xml:space="preserve">. This specification </w:t>
      </w:r>
      <w:r w:rsidR="00D03041">
        <w:t>is</w:t>
      </w:r>
      <w:r w:rsidR="003D32A8">
        <w:t xml:space="preserve"> for </w:t>
      </w:r>
      <w:r w:rsidR="003D32A8" w:rsidRPr="00EA0F56">
        <w:t xml:space="preserve">2′-FL derived from </w:t>
      </w:r>
      <w:r w:rsidR="003D32A8" w:rsidRPr="005B41E8">
        <w:rPr>
          <w:i/>
        </w:rPr>
        <w:t>E. coli</w:t>
      </w:r>
      <w:r w:rsidR="003D32A8" w:rsidRPr="00EA0F56">
        <w:t xml:space="preserve"> K-12 containing the gene for alpha-1,2-fucosyltransferase from either </w:t>
      </w:r>
      <w:r w:rsidR="003D32A8" w:rsidRPr="005B41E8">
        <w:rPr>
          <w:i/>
        </w:rPr>
        <w:t>Bacteroides vulgatus</w:t>
      </w:r>
      <w:r w:rsidR="003D32A8" w:rsidRPr="00EA0F56">
        <w:t xml:space="preserve"> or </w:t>
      </w:r>
      <w:r w:rsidR="003D32A8" w:rsidRPr="005B41E8">
        <w:rPr>
          <w:i/>
        </w:rPr>
        <w:t>Helicobacter pylori</w:t>
      </w:r>
      <w:r w:rsidR="003D32A8">
        <w:t xml:space="preserve"> </w:t>
      </w:r>
      <w:r w:rsidR="00895B13">
        <w:t xml:space="preserve">(ie, </w:t>
      </w:r>
      <w:r w:rsidR="003D32A8">
        <w:t>as permitted under Schedule 26</w:t>
      </w:r>
      <w:r w:rsidR="00895B13">
        <w:t>)</w:t>
      </w:r>
      <w:r w:rsidR="00D37117">
        <w:t>.</w:t>
      </w:r>
      <w:r w:rsidRPr="0017158E">
        <w:rPr>
          <w:szCs w:val="22"/>
          <w:lang w:bidi="ar-SA"/>
        </w:rPr>
        <w:t xml:space="preserve"> </w:t>
      </w:r>
      <w:r>
        <w:rPr>
          <w:szCs w:val="22"/>
          <w:lang w:bidi="ar-SA"/>
        </w:rPr>
        <w:t>This</w:t>
      </w:r>
      <w:r w:rsidR="00DB229B">
        <w:rPr>
          <w:szCs w:val="22"/>
          <w:lang w:bidi="ar-SA"/>
        </w:rPr>
        <w:t xml:space="preserve"> approach assures public health and safety</w:t>
      </w:r>
      <w:r>
        <w:rPr>
          <w:szCs w:val="22"/>
          <w:lang w:bidi="ar-SA"/>
        </w:rPr>
        <w:t xml:space="preserve"> because </w:t>
      </w:r>
      <w:r w:rsidR="00DB229B">
        <w:rPr>
          <w:szCs w:val="22"/>
          <w:lang w:bidi="ar-SA"/>
        </w:rPr>
        <w:t>a</w:t>
      </w:r>
      <w:r w:rsidR="00DB229B" w:rsidRPr="00856278">
        <w:rPr>
          <w:szCs w:val="22"/>
          <w:lang w:bidi="ar-SA"/>
        </w:rPr>
        <w:t xml:space="preserve"> manufacturer </w:t>
      </w:r>
      <w:r w:rsidR="00DB229B">
        <w:rPr>
          <w:szCs w:val="22"/>
          <w:lang w:bidi="ar-SA"/>
        </w:rPr>
        <w:t xml:space="preserve">seeking to sell </w:t>
      </w:r>
      <w:r w:rsidR="00DB229B" w:rsidRPr="00856278">
        <w:rPr>
          <w:szCs w:val="22"/>
          <w:lang w:bidi="ar-SA"/>
        </w:rPr>
        <w:t>2</w:t>
      </w:r>
      <w:r w:rsidR="00DB229B">
        <w:rPr>
          <w:szCs w:val="22"/>
          <w:lang w:bidi="ar-SA"/>
        </w:rPr>
        <w:t>ʹ</w:t>
      </w:r>
      <w:r w:rsidR="00DB229B" w:rsidRPr="00856278">
        <w:rPr>
          <w:szCs w:val="22"/>
          <w:lang w:bidi="ar-SA"/>
        </w:rPr>
        <w:t>-FL</w:t>
      </w:r>
      <w:r w:rsidR="00DB229B">
        <w:rPr>
          <w:szCs w:val="22"/>
          <w:lang w:bidi="ar-SA"/>
        </w:rPr>
        <w:t xml:space="preserve"> from </w:t>
      </w:r>
      <w:r w:rsidR="00C63929" w:rsidRPr="00E815EB">
        <w:rPr>
          <w:i/>
          <w:szCs w:val="22"/>
          <w:lang w:bidi="ar-SA"/>
        </w:rPr>
        <w:t>E. coli</w:t>
      </w:r>
      <w:r w:rsidR="00C63929">
        <w:rPr>
          <w:szCs w:val="22"/>
          <w:lang w:bidi="ar-SA"/>
        </w:rPr>
        <w:t xml:space="preserve"> K-12 containing </w:t>
      </w:r>
      <w:r w:rsidR="00E815EB">
        <w:rPr>
          <w:szCs w:val="22"/>
          <w:lang w:bidi="ar-SA"/>
        </w:rPr>
        <w:t xml:space="preserve">the gene </w:t>
      </w:r>
      <w:r w:rsidR="00E815EB" w:rsidRPr="00EA0F56">
        <w:t xml:space="preserve">for alpha-1,2-fucosyltransferase </w:t>
      </w:r>
      <w:r w:rsidR="00E815EB">
        <w:t xml:space="preserve">from </w:t>
      </w:r>
      <w:r w:rsidR="00DB229B">
        <w:rPr>
          <w:szCs w:val="22"/>
          <w:lang w:bidi="ar-SA"/>
        </w:rPr>
        <w:t xml:space="preserve">a donor organism </w:t>
      </w:r>
      <w:r w:rsidR="00895B13">
        <w:rPr>
          <w:szCs w:val="22"/>
          <w:lang w:bidi="ar-SA"/>
        </w:rPr>
        <w:t xml:space="preserve">other than </w:t>
      </w:r>
      <w:r w:rsidR="00895B13" w:rsidRPr="005B41E8">
        <w:rPr>
          <w:i/>
        </w:rPr>
        <w:t>Bacteroides vulgatus</w:t>
      </w:r>
      <w:r w:rsidR="00895B13" w:rsidRPr="00EA0F56">
        <w:t xml:space="preserve"> or </w:t>
      </w:r>
      <w:r w:rsidR="00895B13" w:rsidRPr="005B41E8">
        <w:rPr>
          <w:i/>
        </w:rPr>
        <w:t>Helicobacter pylori</w:t>
      </w:r>
      <w:r w:rsidR="00895B13">
        <w:rPr>
          <w:szCs w:val="22"/>
          <w:lang w:bidi="ar-SA"/>
        </w:rPr>
        <w:t xml:space="preserve"> </w:t>
      </w:r>
      <w:r w:rsidR="00DB229B">
        <w:rPr>
          <w:szCs w:val="22"/>
          <w:lang w:bidi="ar-SA"/>
        </w:rPr>
        <w:t>is still required</w:t>
      </w:r>
      <w:r w:rsidR="00DB229B" w:rsidRPr="00856278">
        <w:rPr>
          <w:szCs w:val="22"/>
          <w:lang w:bidi="ar-SA"/>
        </w:rPr>
        <w:t xml:space="preserve"> </w:t>
      </w:r>
      <w:r w:rsidR="00DB229B">
        <w:rPr>
          <w:szCs w:val="22"/>
          <w:lang w:bidi="ar-SA"/>
        </w:rPr>
        <w:t>to</w:t>
      </w:r>
      <w:r w:rsidR="00DB229B" w:rsidRPr="00856278">
        <w:rPr>
          <w:szCs w:val="22"/>
          <w:lang w:bidi="ar-SA"/>
        </w:rPr>
        <w:t xml:space="preserve"> </w:t>
      </w:r>
      <w:r>
        <w:rPr>
          <w:szCs w:val="22"/>
          <w:lang w:bidi="ar-SA"/>
        </w:rPr>
        <w:t>seek permission</w:t>
      </w:r>
      <w:r w:rsidR="00DB229B" w:rsidRPr="00856278">
        <w:rPr>
          <w:szCs w:val="22"/>
          <w:lang w:bidi="ar-SA"/>
        </w:rPr>
        <w:t xml:space="preserve"> under Schedule 26 of the Code</w:t>
      </w:r>
      <w:r w:rsidR="00BD2C10">
        <w:rPr>
          <w:szCs w:val="22"/>
          <w:lang w:bidi="ar-SA"/>
        </w:rPr>
        <w:t>. H</w:t>
      </w:r>
      <w:r w:rsidR="00DB229B">
        <w:rPr>
          <w:szCs w:val="22"/>
          <w:lang w:bidi="ar-SA"/>
        </w:rPr>
        <w:t xml:space="preserve">owever the need for multiple specifications for similar </w:t>
      </w:r>
      <w:r w:rsidR="00DB229B" w:rsidRPr="00856278">
        <w:rPr>
          <w:szCs w:val="22"/>
          <w:lang w:bidi="ar-SA"/>
        </w:rPr>
        <w:t>2</w:t>
      </w:r>
      <w:r w:rsidR="00DB229B">
        <w:rPr>
          <w:szCs w:val="22"/>
          <w:lang w:bidi="ar-SA"/>
        </w:rPr>
        <w:t>ʹ</w:t>
      </w:r>
      <w:r w:rsidR="00DB229B" w:rsidRPr="00856278">
        <w:rPr>
          <w:szCs w:val="22"/>
          <w:lang w:bidi="ar-SA"/>
        </w:rPr>
        <w:t>-FL</w:t>
      </w:r>
      <w:r w:rsidR="00DB229B">
        <w:rPr>
          <w:szCs w:val="22"/>
          <w:lang w:bidi="ar-SA"/>
        </w:rPr>
        <w:t xml:space="preserve"> products </w:t>
      </w:r>
      <w:r w:rsidR="002C4747">
        <w:rPr>
          <w:szCs w:val="22"/>
          <w:lang w:bidi="ar-SA"/>
        </w:rPr>
        <w:t xml:space="preserve">(i.e. from the same host organism) </w:t>
      </w:r>
      <w:r w:rsidR="00DB229B">
        <w:rPr>
          <w:szCs w:val="22"/>
          <w:lang w:bidi="ar-SA"/>
        </w:rPr>
        <w:t>is removed, thus providing clarity in the Code</w:t>
      </w:r>
      <w:r w:rsidR="00DB229B" w:rsidRPr="00856278">
        <w:rPr>
          <w:szCs w:val="22"/>
          <w:lang w:bidi="ar-SA"/>
        </w:rPr>
        <w:t>.</w:t>
      </w:r>
    </w:p>
    <w:p w14:paraId="164C14E6" w14:textId="762347E4" w:rsidR="00874A0E" w:rsidRDefault="00874A0E" w:rsidP="008365B2">
      <w:pPr>
        <w:pStyle w:val="Heading2"/>
      </w:pPr>
      <w:bookmarkStart w:id="82" w:name="_Toc100402954"/>
      <w:r>
        <w:t>3.</w:t>
      </w:r>
      <w:r w:rsidR="00A5511B">
        <w:t>3</w:t>
      </w:r>
      <w:r>
        <w:tab/>
        <w:t>Exclusivity</w:t>
      </w:r>
      <w:bookmarkEnd w:id="82"/>
      <w:r>
        <w:t xml:space="preserve"> </w:t>
      </w:r>
    </w:p>
    <w:p w14:paraId="6A23EC6B" w14:textId="7C6DF339" w:rsidR="00874A0E" w:rsidRDefault="00874A0E" w:rsidP="00510B7A">
      <w:pPr>
        <w:widowControl/>
        <w:spacing w:before="120" w:after="120"/>
      </w:pPr>
      <w:r>
        <w:t xml:space="preserve">An </w:t>
      </w:r>
      <w:r w:rsidR="00DF6DB2">
        <w:t>applicant</w:t>
      </w:r>
      <w:r>
        <w:t xml:space="preserve"> may request exclusive permission to use and sell a food (including a substance) for a certain period of time to recognise the investment made in developing the food or ingredient or nutritive substance and the need to achieve return on this investment, thereby supporting innovation. The </w:t>
      </w:r>
      <w:r w:rsidR="00DF6DB2">
        <w:t>applicant</w:t>
      </w:r>
      <w:r>
        <w:t xml:space="preserve"> has requested an exclusive use permission for their specific brand of 2′-FL on the basis that they have invested significantly in the technology development and safety studies. </w:t>
      </w:r>
    </w:p>
    <w:p w14:paraId="34BE3AF0" w14:textId="699C08BA" w:rsidR="00874A0E" w:rsidRDefault="00874A0E" w:rsidP="00510B7A">
      <w:pPr>
        <w:widowControl/>
        <w:spacing w:before="120" w:after="120"/>
      </w:pPr>
      <w:r>
        <w:t xml:space="preserve">FSANZ decided to provide the </w:t>
      </w:r>
      <w:r w:rsidR="00DF6DB2">
        <w:t>applicant</w:t>
      </w:r>
      <w:r>
        <w:t xml:space="preserve"> with a 15 month exclusive use permission for the 2′- FL produced by fermentation and </w:t>
      </w:r>
      <w:r w:rsidR="001933FC">
        <w:t>derived</w:t>
      </w:r>
      <w:r w:rsidR="00596CFF">
        <w:t xml:space="preserve"> </w:t>
      </w:r>
      <w:r>
        <w:t xml:space="preserve">from </w:t>
      </w:r>
      <w:r w:rsidR="00597DE0" w:rsidRPr="000F77C7">
        <w:rPr>
          <w:i/>
        </w:rPr>
        <w:t>E. coli</w:t>
      </w:r>
      <w:r w:rsidR="00597DE0" w:rsidRPr="00E72505">
        <w:t xml:space="preserve"> K-12 containing the gene for alpha-1,2-fucosyltransferase from </w:t>
      </w:r>
      <w:r w:rsidR="00597DE0" w:rsidRPr="000F77C7">
        <w:rPr>
          <w:i/>
        </w:rPr>
        <w:t>Bacteroides vulgatus</w:t>
      </w:r>
      <w:r>
        <w:t xml:space="preserve">, commencing on the date of gazettal of the approved draft variation. </w:t>
      </w:r>
    </w:p>
    <w:p w14:paraId="39B7F405" w14:textId="2B1E673F" w:rsidR="00874A0E" w:rsidRDefault="00874A0E" w:rsidP="00510B7A">
      <w:pPr>
        <w:widowControl/>
        <w:spacing w:before="120" w:after="120"/>
      </w:pPr>
      <w:r>
        <w:t xml:space="preserve">This means that, during that 15 month period, the permission for this </w:t>
      </w:r>
      <w:r w:rsidR="00A476B5">
        <w:t>2′-FL</w:t>
      </w:r>
      <w:r>
        <w:t xml:space="preserve"> would apply exclusively to this substance under the brand ‘Aequival® 2′-FL’ in accordance with the Code. </w:t>
      </w:r>
    </w:p>
    <w:p w14:paraId="661672AC" w14:textId="2E74F73C" w:rsidR="00874A0E" w:rsidRDefault="00874A0E" w:rsidP="00510B7A">
      <w:pPr>
        <w:widowControl/>
        <w:spacing w:before="120" w:after="120"/>
      </w:pPr>
      <w:r>
        <w:t xml:space="preserve">Once the 15 month period ends, the exclusive use permission would revert to a general permission, meaning that the permission would apply to all brands of 2′-FL produced by fermentation and </w:t>
      </w:r>
      <w:r w:rsidR="00596CFF">
        <w:t xml:space="preserve">derived </w:t>
      </w:r>
      <w:r>
        <w:t xml:space="preserve">from </w:t>
      </w:r>
      <w:r w:rsidR="00596CFF" w:rsidRPr="002F37D6">
        <w:t>the production strain</w:t>
      </w:r>
      <w:r>
        <w:t xml:space="preserve">, in accordance with the Code. </w:t>
      </w:r>
    </w:p>
    <w:p w14:paraId="483E6D7B" w14:textId="77777777" w:rsidR="00874A0E" w:rsidRDefault="00874A0E" w:rsidP="00510B7A">
      <w:pPr>
        <w:widowControl/>
        <w:spacing w:before="120" w:after="120"/>
      </w:pPr>
      <w:r>
        <w:t xml:space="preserve">An exclusive use permission in the Code does not, and cannot, prevent approval of second or subsequent applications either within the exclusive use period or during the progression of an application, for the use of the same food or ingredient by other food companies, providing the application process is undertaken. </w:t>
      </w:r>
    </w:p>
    <w:p w14:paraId="0D645A03" w14:textId="57D6C6EC" w:rsidR="00874A0E" w:rsidRPr="00C16ECF" w:rsidRDefault="00874A0E" w:rsidP="008E1E7C">
      <w:pPr>
        <w:pStyle w:val="Heading2"/>
      </w:pPr>
      <w:bookmarkStart w:id="83" w:name="_Toc100402955"/>
      <w:r w:rsidRPr="00C16ECF">
        <w:t>3.</w:t>
      </w:r>
      <w:r w:rsidR="00A5511B" w:rsidRPr="00C16ECF">
        <w:t>4</w:t>
      </w:r>
      <w:r w:rsidRPr="00C16ECF">
        <w:tab/>
        <w:t>The five year review for 2′-FL in Infant Formula Products</w:t>
      </w:r>
      <w:bookmarkEnd w:id="83"/>
    </w:p>
    <w:p w14:paraId="3593502F" w14:textId="77777777" w:rsidR="006507FA" w:rsidRPr="00C16ECF" w:rsidRDefault="006507FA" w:rsidP="006507FA">
      <w:r w:rsidRPr="00C16ECF">
        <w:t>FSANZ is committed to reviewing any new evidence on the beneficial role of 2′-FL in the normal growth and development of infants.</w:t>
      </w:r>
    </w:p>
    <w:p w14:paraId="6F77E8D9" w14:textId="633A3209" w:rsidR="006507FA" w:rsidRPr="00C16ECF" w:rsidRDefault="006507FA" w:rsidP="006507FA">
      <w:r w:rsidRPr="00C16ECF">
        <w:t xml:space="preserve">At the request of Food Ministers, FSANZ will carry out a five year review (to be completed by March 2026) of the evidence of a substantiated beneficial role of 2′-FL in the normal growth </w:t>
      </w:r>
      <w:r w:rsidRPr="00C16ECF">
        <w:lastRenderedPageBreak/>
        <w:t xml:space="preserve">and development of infants. This process will include consultation with a range of stakeholders including experts, industry and government and will be independently peer reviewed. </w:t>
      </w:r>
    </w:p>
    <w:p w14:paraId="659A3262" w14:textId="662CBB80" w:rsidR="006507FA" w:rsidRPr="006507FA" w:rsidRDefault="006507FA" w:rsidP="006507FA">
      <w:pPr>
        <w:rPr>
          <w:lang w:bidi="ar-SA"/>
        </w:rPr>
      </w:pPr>
      <w:r w:rsidRPr="00C16ECF">
        <w:t>FSANZ has started the review by defining the research questions, reviewing existing evidence and seeking out the relevant data needed, including from industry and recently published studies. Details on the review process will be made available on the FSANZ website.</w:t>
      </w:r>
    </w:p>
    <w:p w14:paraId="2242A5D6" w14:textId="3758A999" w:rsidR="00A7422F" w:rsidRPr="00DE5CC1" w:rsidRDefault="004E1ED8" w:rsidP="008E1E7C">
      <w:pPr>
        <w:pStyle w:val="Heading2"/>
        <w:jc w:val="both"/>
      </w:pPr>
      <w:bookmarkStart w:id="84" w:name="_Toc73104826"/>
      <w:bookmarkStart w:id="85" w:name="_Toc77338773"/>
      <w:bookmarkStart w:id="86" w:name="_Toc100402956"/>
      <w:r>
        <w:t>3.</w:t>
      </w:r>
      <w:r w:rsidR="00D642B9">
        <w:t>5</w:t>
      </w:r>
      <w:r>
        <w:tab/>
      </w:r>
      <w:r w:rsidR="00A7422F" w:rsidRPr="00DE5CC1">
        <w:t>Labelling</w:t>
      </w:r>
      <w:bookmarkEnd w:id="84"/>
      <w:bookmarkEnd w:id="85"/>
      <w:bookmarkEnd w:id="86"/>
    </w:p>
    <w:p w14:paraId="55119023" w14:textId="7F4B57F1" w:rsidR="00A7422F" w:rsidRPr="00DE5CC1" w:rsidRDefault="00246EBF" w:rsidP="00DE5CC1">
      <w:pPr>
        <w:pStyle w:val="Heading3"/>
      </w:pPr>
      <w:bookmarkStart w:id="87" w:name="_Toc73104827"/>
      <w:bookmarkStart w:id="88" w:name="_Toc77338774"/>
      <w:r>
        <w:t>3</w:t>
      </w:r>
      <w:r w:rsidR="00A7422F" w:rsidRPr="00DE5CC1">
        <w:t>.</w:t>
      </w:r>
      <w:r w:rsidR="00D642B9">
        <w:t>5</w:t>
      </w:r>
      <w:r w:rsidR="00A7422F" w:rsidRPr="00DE5CC1">
        <w:t>.1</w:t>
      </w:r>
      <w:r w:rsidR="00A7422F" w:rsidRPr="00DE5CC1">
        <w:tab/>
        <w:t>Statement of ingredients</w:t>
      </w:r>
      <w:bookmarkEnd w:id="87"/>
      <w:bookmarkEnd w:id="88"/>
    </w:p>
    <w:p w14:paraId="5105F0C7" w14:textId="7C90F552" w:rsidR="00A7422F" w:rsidRDefault="00A7422F" w:rsidP="00510B7A">
      <w:pPr>
        <w:widowControl/>
        <w:spacing w:before="120" w:after="120"/>
      </w:pPr>
      <w:r>
        <w:t xml:space="preserve">Standard 1.2.4 requires food for sale to be labelled with a statement of ingredients unless exempt. The label on a package of IFP must contain a statement of ingredients. Should manufacturers choose to add the </w:t>
      </w:r>
      <w:r w:rsidR="00BF5892" w:rsidRPr="000C48F8">
        <w:t xml:space="preserve">2′-FL </w:t>
      </w:r>
      <w:r w:rsidR="00596CFF">
        <w:t>derived from</w:t>
      </w:r>
      <w:r w:rsidR="00596CFF">
        <w:rPr>
          <w:i/>
        </w:rPr>
        <w:t xml:space="preserve"> </w:t>
      </w:r>
      <w:r w:rsidR="00596CFF" w:rsidRPr="002F37D6">
        <w:t>the production strain</w:t>
      </w:r>
      <w:r>
        <w:t xml:space="preserve"> </w:t>
      </w:r>
      <w:r>
        <w:rPr>
          <w:lang w:bidi="ar-SA"/>
        </w:rPr>
        <w:t xml:space="preserve">alone or combined with LNnT </w:t>
      </w:r>
      <w:r>
        <w:t xml:space="preserve">to IFP, then this substance must be declared in the </w:t>
      </w:r>
      <w:r w:rsidR="001B4812">
        <w:t>statement of ingredients.</w:t>
      </w:r>
    </w:p>
    <w:p w14:paraId="5E419E0A" w14:textId="3262E9E9" w:rsidR="00A7422F" w:rsidRDefault="00A7422F" w:rsidP="00510B7A">
      <w:pPr>
        <w:widowControl/>
        <w:spacing w:before="120" w:after="120"/>
      </w:pPr>
      <w:r>
        <w:rPr>
          <w:lang w:bidi="ar-SA"/>
        </w:rPr>
        <w:t>Generic ingredient labelling</w:t>
      </w:r>
      <w:r>
        <w:t xml:space="preserve"> provisions in </w:t>
      </w:r>
      <w:r w:rsidR="00B05F7E">
        <w:t>Section</w:t>
      </w:r>
      <w:r>
        <w:t xml:space="preserve"> 1.2.4—4 require ingredients to be identified using a name by which they are commonly known, or a name that describes its true nature, or a generic ingredient name if one is specified in Schedule 10 </w:t>
      </w:r>
      <w:r w:rsidRPr="00EC6BBC">
        <w:rPr>
          <w:i/>
        </w:rPr>
        <w:t>Generic names of ingredients and conditions for their use</w:t>
      </w:r>
      <w:r w:rsidR="001B4812">
        <w:t xml:space="preserve">. </w:t>
      </w:r>
    </w:p>
    <w:p w14:paraId="1658D85A" w14:textId="6BF64A87" w:rsidR="00A7422F" w:rsidRDefault="00A7422F" w:rsidP="00510B7A">
      <w:pPr>
        <w:widowControl/>
        <w:spacing w:before="120" w:after="120"/>
      </w:pPr>
      <w:r w:rsidRPr="00F2395B">
        <w:t xml:space="preserve">Noting the existing prohibited representations in paragraphs 2.9.1—24(1)(ca) and (cb) (refer </w:t>
      </w:r>
      <w:r w:rsidR="00B05F7E">
        <w:t>Section</w:t>
      </w:r>
      <w:r w:rsidRPr="00F2395B">
        <w:t xml:space="preserve"> </w:t>
      </w:r>
      <w:r w:rsidR="00B05F7E">
        <w:t>3</w:t>
      </w:r>
      <w:r w:rsidRPr="00F2395B">
        <w:t>.</w:t>
      </w:r>
      <w:r w:rsidR="00BF5892">
        <w:t>5</w:t>
      </w:r>
      <w:r w:rsidRPr="00F2395B">
        <w:t>.3 below),</w:t>
      </w:r>
      <w:r>
        <w:t xml:space="preserve"> these existing ingredient naming requirements w</w:t>
      </w:r>
      <w:r w:rsidR="0073504E">
        <w:t>ill</w:t>
      </w:r>
      <w:r>
        <w:t xml:space="preserve"> apply to 2′-FL, enabling industry to have flexibility in how they declare this ingredient </w:t>
      </w:r>
      <w:r w:rsidDel="009945FB">
        <w:t xml:space="preserve">(for example, using the scientific name </w:t>
      </w:r>
      <w:r w:rsidRPr="007D6410" w:rsidDel="009945FB">
        <w:t>‘2</w:t>
      </w:r>
      <w:r w:rsidDel="009945FB">
        <w:t>′</w:t>
      </w:r>
      <w:r w:rsidRPr="007D6410" w:rsidDel="009945FB">
        <w:t>-fucosyllactose’</w:t>
      </w:r>
      <w:r w:rsidDel="009945FB">
        <w:t xml:space="preserve">). </w:t>
      </w:r>
    </w:p>
    <w:p w14:paraId="6970ABB1" w14:textId="22D7032E" w:rsidR="00A7422F" w:rsidRPr="00DE5CC1" w:rsidRDefault="00246EBF" w:rsidP="00DE5CC1">
      <w:pPr>
        <w:pStyle w:val="Heading3"/>
      </w:pPr>
      <w:bookmarkStart w:id="89" w:name="_Toc73104828"/>
      <w:bookmarkStart w:id="90" w:name="_Toc77338775"/>
      <w:r>
        <w:t>3</w:t>
      </w:r>
      <w:r w:rsidR="00A7422F" w:rsidRPr="00DE5CC1">
        <w:t>.</w:t>
      </w:r>
      <w:r w:rsidR="00D642B9">
        <w:t>5</w:t>
      </w:r>
      <w:r w:rsidR="00A7422F" w:rsidRPr="00DE5CC1">
        <w:t>.2</w:t>
      </w:r>
      <w:r w:rsidR="00A7422F" w:rsidRPr="00DE5CC1">
        <w:tab/>
        <w:t>Mandatory nutrition information</w:t>
      </w:r>
      <w:bookmarkEnd w:id="89"/>
      <w:bookmarkEnd w:id="90"/>
    </w:p>
    <w:p w14:paraId="5F328448" w14:textId="6F6EF805" w:rsidR="00A7422F" w:rsidRPr="003E7621" w:rsidRDefault="00A7422F" w:rsidP="00510B7A">
      <w:pPr>
        <w:widowControl/>
        <w:spacing w:before="120" w:after="120"/>
      </w:pPr>
      <w:r>
        <w:t>S</w:t>
      </w:r>
      <w:r w:rsidRPr="003E7621">
        <w:t xml:space="preserve">ection 2.9.1—21 regulates the declaration of nutrition information in a nutrition information statement </w:t>
      </w:r>
      <w:r w:rsidR="00761080">
        <w:t xml:space="preserve">(NIS) </w:t>
      </w:r>
      <w:r w:rsidRPr="003E7621">
        <w:t>on the label</w:t>
      </w:r>
      <w:r>
        <w:t xml:space="preserve"> of IFP</w:t>
      </w:r>
      <w:r w:rsidRPr="003E7621">
        <w:t xml:space="preserve">. The </w:t>
      </w:r>
      <w:r>
        <w:t xml:space="preserve">NIS is a </w:t>
      </w:r>
      <w:r w:rsidRPr="003E7621">
        <w:t xml:space="preserve">single statement and may be in the form of a table, as </w:t>
      </w:r>
      <w:r>
        <w:t xml:space="preserve">indicated in </w:t>
      </w:r>
      <w:r w:rsidR="00B05F7E">
        <w:t>Section</w:t>
      </w:r>
      <w:r>
        <w:t xml:space="preserve"> S29—10 </w:t>
      </w:r>
      <w:r w:rsidRPr="00763CAC">
        <w:rPr>
          <w:i/>
        </w:rPr>
        <w:t>Guidelines for infant formula products</w:t>
      </w:r>
      <w:r w:rsidRPr="00303B58">
        <w:t xml:space="preserve">. </w:t>
      </w:r>
    </w:p>
    <w:p w14:paraId="30099DFE" w14:textId="5B51A8C2" w:rsidR="00A7422F" w:rsidRPr="003E7621" w:rsidRDefault="00BF5892" w:rsidP="00510B7A">
      <w:pPr>
        <w:widowControl/>
        <w:spacing w:before="120" w:after="120"/>
      </w:pPr>
      <w:r>
        <w:t>Subp</w:t>
      </w:r>
      <w:r w:rsidR="00A7422F" w:rsidRPr="003E7621">
        <w:t>aragraph 2.9.1—21(1)</w:t>
      </w:r>
      <w:r>
        <w:t>(a</w:t>
      </w:r>
      <w:r w:rsidR="00A7422F" w:rsidRPr="003E7621">
        <w:t xml:space="preserve">)(iii) requires the average amount of </w:t>
      </w:r>
      <w:r w:rsidR="00A7422F">
        <w:t xml:space="preserve">any </w:t>
      </w:r>
      <w:r w:rsidR="00A7422F" w:rsidRPr="003E7621">
        <w:t xml:space="preserve">substance </w:t>
      </w:r>
      <w:r w:rsidR="00A7422F" w:rsidRPr="00303B58">
        <w:t>used as a nutritive substance</w:t>
      </w:r>
      <w:r w:rsidR="00A7422F" w:rsidRPr="003E7621">
        <w:t xml:space="preserve"> permitted by </w:t>
      </w:r>
      <w:r w:rsidR="00DD2916">
        <w:t>S</w:t>
      </w:r>
      <w:r w:rsidR="00DD2916" w:rsidRPr="003E7621">
        <w:t xml:space="preserve">tandard </w:t>
      </w:r>
      <w:r w:rsidR="00B16FBF" w:rsidRPr="003E7621">
        <w:t>2.9.1</w:t>
      </w:r>
      <w:r w:rsidR="00B16FBF">
        <w:t xml:space="preserve"> </w:t>
      </w:r>
      <w:r w:rsidR="00A7422F" w:rsidRPr="003E7621">
        <w:t xml:space="preserve">to be declared in the </w:t>
      </w:r>
      <w:r w:rsidR="00A7422F">
        <w:t>NIS</w:t>
      </w:r>
      <w:r w:rsidR="00A7422F" w:rsidRPr="003E7621">
        <w:t xml:space="preserve">. </w:t>
      </w:r>
      <w:r w:rsidR="00A7422F">
        <w:t xml:space="preserve">The specific </w:t>
      </w:r>
      <w:r w:rsidR="00A7422F" w:rsidRPr="003E7621">
        <w:t>2′-FL</w:t>
      </w:r>
      <w:r w:rsidR="00A7422F">
        <w:t xml:space="preserve"> in this application</w:t>
      </w:r>
      <w:r w:rsidR="00A7422F" w:rsidDel="008B0E51">
        <w:t xml:space="preserve"> </w:t>
      </w:r>
      <w:r w:rsidR="00A7422F">
        <w:t>w</w:t>
      </w:r>
      <w:r w:rsidR="0073504E">
        <w:t>ill</w:t>
      </w:r>
      <w:r w:rsidR="00A7422F">
        <w:t xml:space="preserve"> need to </w:t>
      </w:r>
      <w:r w:rsidR="00A7422F" w:rsidRPr="003E7621">
        <w:t xml:space="preserve">be declared in the </w:t>
      </w:r>
      <w:r w:rsidR="00A7422F">
        <w:t>NIS</w:t>
      </w:r>
      <w:r w:rsidR="00A7422F" w:rsidRPr="009B46A8">
        <w:t xml:space="preserve"> </w:t>
      </w:r>
      <w:r w:rsidR="00A7422F" w:rsidRPr="003E7621">
        <w:t xml:space="preserve">when </w:t>
      </w:r>
      <w:r w:rsidR="00A7422F">
        <w:t>it is voluntarily added to a IFP</w:t>
      </w:r>
      <w:r w:rsidR="00A7422F" w:rsidRPr="003E7621">
        <w:t xml:space="preserve">. </w:t>
      </w:r>
    </w:p>
    <w:p w14:paraId="7BFED8F6" w14:textId="1FDE0E08" w:rsidR="00A7422F" w:rsidRPr="00DE5CC1" w:rsidRDefault="00246EBF" w:rsidP="00DE5CC1">
      <w:pPr>
        <w:pStyle w:val="Heading3"/>
      </w:pPr>
      <w:bookmarkStart w:id="91" w:name="_Toc73104829"/>
      <w:bookmarkStart w:id="92" w:name="_Toc77338776"/>
      <w:r>
        <w:t>3</w:t>
      </w:r>
      <w:r w:rsidR="00A7422F" w:rsidRPr="00DE5CC1">
        <w:t>.</w:t>
      </w:r>
      <w:r w:rsidR="00D642B9">
        <w:t>5</w:t>
      </w:r>
      <w:r w:rsidR="00A7422F" w:rsidRPr="00DE5CC1">
        <w:t>.3</w:t>
      </w:r>
      <w:r w:rsidR="00A7422F" w:rsidRPr="00DE5CC1">
        <w:tab/>
        <w:t>Prohibited representations</w:t>
      </w:r>
      <w:bookmarkEnd w:id="91"/>
      <w:bookmarkEnd w:id="92"/>
      <w:r w:rsidR="00A7422F" w:rsidRPr="00DE5CC1">
        <w:t xml:space="preserve"> </w:t>
      </w:r>
    </w:p>
    <w:p w14:paraId="7AD63E57" w14:textId="01D460A7" w:rsidR="00A7422F" w:rsidRDefault="00A7422F" w:rsidP="00510B7A">
      <w:pPr>
        <w:widowControl/>
        <w:spacing w:before="120" w:after="120"/>
        <w:rPr>
          <w:rFonts w:cs="Arial"/>
          <w:szCs w:val="22"/>
        </w:rPr>
      </w:pPr>
      <w:r>
        <w:rPr>
          <w:rFonts w:cs="Arial"/>
          <w:szCs w:val="22"/>
        </w:rPr>
        <w:t>P</w:t>
      </w:r>
      <w:r w:rsidRPr="00325272">
        <w:t>aragraph 2.9.1—24(1)(ca) prohibits the use of the words ‘human milk oligosaccharide’, ‘human milk identical oligosaccharide’ or any word or words having the same or similar effect. In addition, paragraph 2.9.1—24(1)(cb) prohibits the use of the abbreviations ‘HMO’ or ‘HiMO’ or any abbreviation having the same or similar effect.</w:t>
      </w:r>
      <w:r>
        <w:t xml:space="preserve"> The words and abbreviations in these provisions cannot be </w:t>
      </w:r>
      <w:r w:rsidRPr="00225692">
        <w:t xml:space="preserve">used </w:t>
      </w:r>
      <w:r>
        <w:t>anywhere on the label of a package of IFP.</w:t>
      </w:r>
      <w:r w:rsidR="0073504E">
        <w:t xml:space="preserve"> </w:t>
      </w:r>
      <w:r w:rsidR="00BF5892" w:rsidRPr="00BF5892">
        <w:t>The</w:t>
      </w:r>
      <w:r w:rsidR="0073504E" w:rsidRPr="0073504E">
        <w:t xml:space="preserve"> 2′-FL </w:t>
      </w:r>
      <w:r w:rsidR="00596CFF">
        <w:t>derived from the production strain</w:t>
      </w:r>
      <w:r w:rsidR="00BF5892" w:rsidRPr="00BF5892">
        <w:t xml:space="preserve"> </w:t>
      </w:r>
      <w:r w:rsidR="0073504E">
        <w:t xml:space="preserve">will be subject to these </w:t>
      </w:r>
      <w:r w:rsidR="00BF5892" w:rsidRPr="00BF5892">
        <w:t xml:space="preserve">provisions regarding </w:t>
      </w:r>
      <w:r w:rsidR="0073504E">
        <w:t>prohibited representations.</w:t>
      </w:r>
    </w:p>
    <w:p w14:paraId="08227BE1" w14:textId="6862B74F" w:rsidR="00A7422F" w:rsidRPr="00DE5CC1" w:rsidRDefault="00246EBF" w:rsidP="00DE5CC1">
      <w:pPr>
        <w:pStyle w:val="Heading3"/>
      </w:pPr>
      <w:bookmarkStart w:id="93" w:name="_Toc77338777"/>
      <w:r>
        <w:t>3</w:t>
      </w:r>
      <w:r w:rsidR="00A7422F" w:rsidRPr="00DE5CC1">
        <w:t>.</w:t>
      </w:r>
      <w:r w:rsidR="00D642B9">
        <w:t>5</w:t>
      </w:r>
      <w:r w:rsidR="00A7422F" w:rsidRPr="00DE5CC1">
        <w:t>.4</w:t>
      </w:r>
      <w:r w:rsidR="00A7422F" w:rsidRPr="00DE5CC1">
        <w:tab/>
        <w:t>Voluntary representations</w:t>
      </w:r>
      <w:bookmarkEnd w:id="93"/>
    </w:p>
    <w:p w14:paraId="2DF72C59" w14:textId="26F048AF" w:rsidR="00A7422F" w:rsidRDefault="00A7422F" w:rsidP="00510B7A">
      <w:pPr>
        <w:widowControl/>
        <w:spacing w:before="120" w:after="120"/>
      </w:pPr>
      <w:r w:rsidRPr="00EB7729">
        <w:t xml:space="preserve">Subsection 1.2.7—4(b) of Standard 1.2.7 states that a nutrition content or health claim must not be made about an </w:t>
      </w:r>
      <w:r>
        <w:t>IFP</w:t>
      </w:r>
      <w:r w:rsidRPr="00EB7729">
        <w:t>.</w:t>
      </w:r>
      <w:r>
        <w:t xml:space="preserve"> </w:t>
      </w:r>
      <w:r w:rsidR="007A6129">
        <w:t>Paragraph</w:t>
      </w:r>
      <w:r w:rsidR="007A6129" w:rsidRPr="00EB7729">
        <w:t xml:space="preserve"> 2.9.1—24(1)(f) of Standard 2.9.1</w:t>
      </w:r>
      <w:r w:rsidR="007A6129">
        <w:t xml:space="preserve"> </w:t>
      </w:r>
      <w:r w:rsidR="00BF5892">
        <w:t xml:space="preserve">also </w:t>
      </w:r>
      <w:r w:rsidR="007A6129" w:rsidRPr="00EB7729">
        <w:t xml:space="preserve">prohibits a reference to the presence of a nutrient or substance that may be used as a nutritive </w:t>
      </w:r>
      <w:r w:rsidR="007A6129" w:rsidRPr="00EB7729">
        <w:lastRenderedPageBreak/>
        <w:t xml:space="preserve">substance, except for </w:t>
      </w:r>
      <w:r w:rsidR="007A6129">
        <w:t xml:space="preserve">a reference in: </w:t>
      </w:r>
      <w:r w:rsidR="007A6129" w:rsidRPr="00EB7729">
        <w:t>a statement relating to lactose</w:t>
      </w:r>
      <w:r w:rsidR="007A6129">
        <w:t xml:space="preserve"> </w:t>
      </w:r>
      <w:r w:rsidR="007A6129" w:rsidRPr="00911626">
        <w:t>under subsection 2.9.1—14(6)</w:t>
      </w:r>
      <w:r w:rsidR="007A6129" w:rsidRPr="00EB7729">
        <w:t xml:space="preserve">, </w:t>
      </w:r>
      <w:r w:rsidR="007A6129">
        <w:t xml:space="preserve">a </w:t>
      </w:r>
      <w:r w:rsidR="007A6129" w:rsidRPr="00EB7729">
        <w:t>statement of ingredients</w:t>
      </w:r>
      <w:r w:rsidR="007A6129">
        <w:t>,</w:t>
      </w:r>
      <w:r w:rsidR="007A6129" w:rsidRPr="00EB7729">
        <w:t xml:space="preserve"> or </w:t>
      </w:r>
      <w:r w:rsidR="007A6129">
        <w:t>in the NIS</w:t>
      </w:r>
      <w:r w:rsidR="007A6129" w:rsidRPr="00EB7729">
        <w:t>.</w:t>
      </w:r>
      <w:r w:rsidR="007A6129">
        <w:t xml:space="preserve"> </w:t>
      </w:r>
      <w:r w:rsidRPr="000462EA">
        <w:t>Th</w:t>
      </w:r>
      <w:r w:rsidR="00BF5892">
        <w:t>ese</w:t>
      </w:r>
      <w:r>
        <w:t xml:space="preserve"> </w:t>
      </w:r>
      <w:r w:rsidRPr="000462EA">
        <w:t>existing prohibition</w:t>
      </w:r>
      <w:r w:rsidR="00BF5892">
        <w:t>s</w:t>
      </w:r>
      <w:r w:rsidRPr="000462EA">
        <w:t xml:space="preserve"> for nutrition content and health claims for </w:t>
      </w:r>
      <w:r>
        <w:t>IFPs</w:t>
      </w:r>
      <w:r w:rsidRPr="000462EA">
        <w:t xml:space="preserve"> w</w:t>
      </w:r>
      <w:r w:rsidR="0073504E">
        <w:t>ill</w:t>
      </w:r>
      <w:r w:rsidRPr="000462EA" w:rsidDel="00724A02">
        <w:t xml:space="preserve"> </w:t>
      </w:r>
      <w:r w:rsidRPr="000462EA">
        <w:t xml:space="preserve">apply to </w:t>
      </w:r>
      <w:r w:rsidR="00BF5892">
        <w:t xml:space="preserve">the applicant’s </w:t>
      </w:r>
      <w:r w:rsidRPr="000462EA">
        <w:t xml:space="preserve">2′-FL. </w:t>
      </w:r>
    </w:p>
    <w:p w14:paraId="7E6D225A" w14:textId="421F2D9B" w:rsidR="00A7422F" w:rsidRPr="00DE5CC1" w:rsidRDefault="00246EBF" w:rsidP="00DE5CC1">
      <w:pPr>
        <w:pStyle w:val="Heading3"/>
      </w:pPr>
      <w:bookmarkStart w:id="94" w:name="_Toc73104830"/>
      <w:bookmarkStart w:id="95" w:name="_Toc77338778"/>
      <w:r>
        <w:t>3</w:t>
      </w:r>
      <w:r w:rsidR="00A7422F" w:rsidRPr="00DE5CC1">
        <w:t>.</w:t>
      </w:r>
      <w:r w:rsidR="00D642B9">
        <w:t>5</w:t>
      </w:r>
      <w:r w:rsidR="00A7422F" w:rsidRPr="00DE5CC1">
        <w:t>.5</w:t>
      </w:r>
      <w:r w:rsidR="00A7422F" w:rsidRPr="00DE5CC1">
        <w:tab/>
        <w:t>Labelling as ‘genetically modified’</w:t>
      </w:r>
      <w:bookmarkEnd w:id="94"/>
      <w:bookmarkEnd w:id="95"/>
    </w:p>
    <w:p w14:paraId="3BCBD699" w14:textId="0B6D1DFD" w:rsidR="00A7422F" w:rsidRDefault="00A7422F" w:rsidP="00510B7A">
      <w:pPr>
        <w:widowControl/>
        <w:spacing w:before="120" w:after="120"/>
      </w:pPr>
      <w:r>
        <w:t xml:space="preserve">As discussed in the </w:t>
      </w:r>
      <w:r w:rsidRPr="002543AF">
        <w:t>safety and risk assessment report (SD1),</w:t>
      </w:r>
      <w:r>
        <w:t xml:space="preserve"> the applicant’s </w:t>
      </w:r>
      <w:r w:rsidRPr="003E7621">
        <w:t xml:space="preserve">2′-FL </w:t>
      </w:r>
      <w:r>
        <w:t xml:space="preserve">is </w:t>
      </w:r>
      <w:r w:rsidRPr="003E7621">
        <w:t xml:space="preserve">highly </w:t>
      </w:r>
      <w:r w:rsidRPr="003E7621">
        <w:rPr>
          <w:rFonts w:cs="Arial"/>
        </w:rPr>
        <w:t>unlikely to contain</w:t>
      </w:r>
      <w:r w:rsidRPr="003E7621">
        <w:t xml:space="preserve"> novel protein or </w:t>
      </w:r>
      <w:r w:rsidR="00B3595C">
        <w:t xml:space="preserve">novel </w:t>
      </w:r>
      <w:r w:rsidRPr="003E7621">
        <w:t xml:space="preserve">DNA </w:t>
      </w:r>
      <w:r w:rsidRPr="003E7621">
        <w:rPr>
          <w:rFonts w:cs="Arial"/>
        </w:rPr>
        <w:t xml:space="preserve">due to </w:t>
      </w:r>
      <w:r w:rsidRPr="003E7621">
        <w:t xml:space="preserve">the </w:t>
      </w:r>
      <w:r w:rsidRPr="003E7621">
        <w:rPr>
          <w:rFonts w:cs="Arial"/>
        </w:rPr>
        <w:t>purification step used</w:t>
      </w:r>
      <w:r w:rsidRPr="003E7621">
        <w:t xml:space="preserve"> in the production of </w:t>
      </w:r>
      <w:r w:rsidRPr="003E7621">
        <w:rPr>
          <w:rFonts w:cs="Arial"/>
        </w:rPr>
        <w:t>th</w:t>
      </w:r>
      <w:r>
        <w:rPr>
          <w:rFonts w:cs="Arial"/>
        </w:rPr>
        <w:t xml:space="preserve">is </w:t>
      </w:r>
      <w:r w:rsidRPr="003E7621">
        <w:rPr>
          <w:rFonts w:cs="Arial"/>
        </w:rPr>
        <w:t>oligosaccharide</w:t>
      </w:r>
      <w:r w:rsidRPr="003E7621">
        <w:t>.</w:t>
      </w:r>
      <w:r>
        <w:t xml:space="preserve"> </w:t>
      </w:r>
      <w:r w:rsidRPr="003E7621">
        <w:t>It is therefore highly unlikely that novel protein</w:t>
      </w:r>
      <w:r>
        <w:t xml:space="preserve"> or </w:t>
      </w:r>
      <w:r w:rsidR="00B3595C">
        <w:t xml:space="preserve">novel </w:t>
      </w:r>
      <w:r>
        <w:t>DNA</w:t>
      </w:r>
      <w:r w:rsidRPr="003E7621">
        <w:t xml:space="preserve"> will be present in an </w:t>
      </w:r>
      <w:r>
        <w:t>IFP</w:t>
      </w:r>
      <w:r w:rsidRPr="003E7621">
        <w:t xml:space="preserve"> </w:t>
      </w:r>
      <w:r>
        <w:t>t</w:t>
      </w:r>
      <w:r w:rsidRPr="003E7621">
        <w:t xml:space="preserve">hat contains </w:t>
      </w:r>
      <w:r>
        <w:t xml:space="preserve">this </w:t>
      </w:r>
      <w:r w:rsidRPr="003E7621">
        <w:t>2′-FL</w:t>
      </w:r>
      <w:r>
        <w:t xml:space="preserve"> </w:t>
      </w:r>
      <w:r w:rsidRPr="003E7621">
        <w:t xml:space="preserve">as </w:t>
      </w:r>
      <w:r>
        <w:t xml:space="preserve">an </w:t>
      </w:r>
      <w:r w:rsidRPr="003E7621">
        <w:t xml:space="preserve">ingredient. However, where novel protein </w:t>
      </w:r>
      <w:r w:rsidR="00B3595C">
        <w:t xml:space="preserve">or novel DNA </w:t>
      </w:r>
      <w:r w:rsidRPr="003E7621">
        <w:t>is present, the requirement to label 2′-FL as ‘genetically modified’ w</w:t>
      </w:r>
      <w:r w:rsidR="0073504E">
        <w:t>ill</w:t>
      </w:r>
      <w:r w:rsidRPr="003E7621">
        <w:t xml:space="preserve"> apply in accordance with </w:t>
      </w:r>
      <w:r w:rsidR="00BF5892">
        <w:t>s</w:t>
      </w:r>
      <w:r w:rsidR="00B05F7E">
        <w:t>ection</w:t>
      </w:r>
      <w:r w:rsidRPr="003E7621">
        <w:t xml:space="preserve"> 1.5.2—4</w:t>
      </w:r>
      <w:r w:rsidR="00BF5892">
        <w:t>.</w:t>
      </w:r>
      <w:r w:rsidRPr="003E7621">
        <w:t xml:space="preserve"> </w:t>
      </w:r>
    </w:p>
    <w:p w14:paraId="12EAB67E" w14:textId="4E7247E7" w:rsidR="00A7422F" w:rsidRPr="00DE5CC1" w:rsidRDefault="00246EBF" w:rsidP="00DE5CC1">
      <w:pPr>
        <w:pStyle w:val="Heading2"/>
      </w:pPr>
      <w:bookmarkStart w:id="96" w:name="_Toc77338781"/>
      <w:bookmarkStart w:id="97" w:name="_Toc73104833"/>
      <w:bookmarkStart w:id="98" w:name="_Toc77338782"/>
      <w:bookmarkStart w:id="99" w:name="_Toc100402957"/>
      <w:bookmarkEnd w:id="96"/>
      <w:r>
        <w:t>3</w:t>
      </w:r>
      <w:r w:rsidR="00A7422F" w:rsidRPr="00DE5CC1">
        <w:t>.</w:t>
      </w:r>
      <w:r w:rsidR="00EA0F56">
        <w:t>6</w:t>
      </w:r>
      <w:r w:rsidR="00A7422F" w:rsidRPr="00DE5CC1">
        <w:tab/>
        <w:t>Risk management conclusion</w:t>
      </w:r>
      <w:bookmarkEnd w:id="97"/>
      <w:bookmarkEnd w:id="98"/>
      <w:bookmarkEnd w:id="99"/>
    </w:p>
    <w:p w14:paraId="44211569" w14:textId="06C67112" w:rsidR="00EA0F56" w:rsidRDefault="00EA0F56" w:rsidP="00EA0F56">
      <w:r>
        <w:t xml:space="preserve">Having considered and weighed all aspects of the assessment against the statutory requirements, including relevant Ministerial Policy Guidelines and current permissions for 2′-FL in the Code, FSANZ approved a draft variation to the Code to permit the voluntary addition of </w:t>
      </w:r>
      <w:r w:rsidRPr="00053AF0">
        <w:t>2′-FL</w:t>
      </w:r>
      <w:r w:rsidR="00596CFF">
        <w:t xml:space="preserve"> derived</w:t>
      </w:r>
      <w:r>
        <w:t xml:space="preserve"> from </w:t>
      </w:r>
      <w:r w:rsidR="00597DE0" w:rsidRPr="000F77C7">
        <w:rPr>
          <w:i/>
        </w:rPr>
        <w:t>E. coli</w:t>
      </w:r>
      <w:r w:rsidR="00597DE0" w:rsidRPr="00E72505">
        <w:t xml:space="preserve"> K-12 containing the gene for alpha-1,2-fucosyltransferase from </w:t>
      </w:r>
      <w:r w:rsidR="00597DE0" w:rsidRPr="000F77C7">
        <w:rPr>
          <w:i/>
        </w:rPr>
        <w:t>Bacteroides vulgatus</w:t>
      </w:r>
      <w:r w:rsidR="00597DE0" w:rsidRPr="002F37D6" w:rsidDel="00597DE0">
        <w:t xml:space="preserve"> </w:t>
      </w:r>
      <w:r>
        <w:t xml:space="preserve">to </w:t>
      </w:r>
      <w:r w:rsidDel="008E45E3">
        <w:t>IFP</w:t>
      </w:r>
      <w:r>
        <w:t xml:space="preserve">. </w:t>
      </w:r>
      <w:r w:rsidR="00E41247">
        <w:t>T</w:t>
      </w:r>
      <w:r w:rsidR="00B16FBF">
        <w:t>he draft variation was approved with amendments</w:t>
      </w:r>
      <w:r w:rsidR="007127E1">
        <w:rPr>
          <w:lang w:bidi="ar-SA"/>
        </w:rPr>
        <w:t xml:space="preserve"> to set a new single specification for </w:t>
      </w:r>
      <w:r w:rsidR="007127E1">
        <w:t xml:space="preserve">2′-FL sourced from </w:t>
      </w:r>
      <w:r w:rsidR="007127E1" w:rsidRPr="00E72505">
        <w:rPr>
          <w:i/>
        </w:rPr>
        <w:t>E. coli</w:t>
      </w:r>
      <w:r w:rsidR="007127E1" w:rsidRPr="002C391F">
        <w:t xml:space="preserve"> K-12</w:t>
      </w:r>
      <w:r w:rsidR="007127E1" w:rsidDel="00833B48">
        <w:t xml:space="preserve"> </w:t>
      </w:r>
      <w:r w:rsidR="007127E1">
        <w:t xml:space="preserve">containing the gene </w:t>
      </w:r>
      <w:r w:rsidR="007127E1" w:rsidRPr="009D1E8F">
        <w:t xml:space="preserve">for alpha-1,2-fucosyltransferase </w:t>
      </w:r>
      <w:r w:rsidR="007127E1">
        <w:t xml:space="preserve">from either </w:t>
      </w:r>
      <w:r w:rsidR="007127E1">
        <w:rPr>
          <w:i/>
        </w:rPr>
        <w:t xml:space="preserve">Helicobacter pylori </w:t>
      </w:r>
      <w:r w:rsidR="007127E1">
        <w:t xml:space="preserve">or </w:t>
      </w:r>
      <w:r w:rsidR="007127E1">
        <w:rPr>
          <w:i/>
        </w:rPr>
        <w:t>Bacteroides vulgatus.</w:t>
      </w:r>
    </w:p>
    <w:p w14:paraId="443F25AD" w14:textId="019D4762" w:rsidR="00EA0F56" w:rsidRDefault="00B16FBF" w:rsidP="00EA0F56">
      <w:r>
        <w:t xml:space="preserve">The addition to IFP of </w:t>
      </w:r>
      <w:r w:rsidRPr="000C48F8">
        <w:t xml:space="preserve">2′-FL produced using </w:t>
      </w:r>
      <w:r w:rsidRPr="000C48F8">
        <w:rPr>
          <w:i/>
        </w:rPr>
        <w:t>E. coli</w:t>
      </w:r>
      <w:r w:rsidRPr="000C48F8">
        <w:t xml:space="preserve"> K-12 containing the gene for alpha-1,2-fucosyltransferase from </w:t>
      </w:r>
      <w:r w:rsidRPr="000C48F8">
        <w:rPr>
          <w:i/>
        </w:rPr>
        <w:t>Bacteroides vulgatus</w:t>
      </w:r>
      <w:r w:rsidRPr="000C48F8">
        <w:t xml:space="preserve"> </w:t>
      </w:r>
      <w:r>
        <w:t>will be</w:t>
      </w:r>
      <w:r w:rsidR="00F2042B">
        <w:t xml:space="preserve"> </w:t>
      </w:r>
      <w:r w:rsidR="00EA0F56">
        <w:t>subject to relevant requirements and conditions</w:t>
      </w:r>
      <w:r w:rsidR="00EA0F56" w:rsidDel="006E7581">
        <w:t xml:space="preserve"> </w:t>
      </w:r>
      <w:r w:rsidR="00EA0F56">
        <w:t>in the Code, which include the following:</w:t>
      </w:r>
    </w:p>
    <w:p w14:paraId="45953118" w14:textId="2C59264E" w:rsidR="00EA0F56" w:rsidRPr="00E0155D" w:rsidRDefault="00B16FBF" w:rsidP="00EA0F56">
      <w:pPr>
        <w:pStyle w:val="FSBullet1"/>
        <w:numPr>
          <w:ilvl w:val="0"/>
          <w:numId w:val="5"/>
        </w:numPr>
        <w:spacing w:before="0" w:after="0"/>
        <w:ind w:left="567" w:hanging="567"/>
      </w:pPr>
      <w:r>
        <w:t>It</w:t>
      </w:r>
      <w:r w:rsidR="00EA0F56" w:rsidRPr="00E0155D">
        <w:t xml:space="preserve"> may be added alone or in combination with </w:t>
      </w:r>
      <w:r w:rsidR="00EA0F56" w:rsidRPr="0028314D">
        <w:t xml:space="preserve">LNnT </w:t>
      </w:r>
      <w:r w:rsidR="00EA0F56" w:rsidRPr="00E0155D">
        <w:t>up to a maximum level of</w:t>
      </w:r>
      <w:r w:rsidR="00EA0F56">
        <w:t xml:space="preserve"> 2.4 g/L for 2′-FL, as consumed.</w:t>
      </w:r>
      <w:r w:rsidR="0035420A">
        <w:t xml:space="preserve"> </w:t>
      </w:r>
      <w:r w:rsidR="001900DB">
        <w:t>This applies</w:t>
      </w:r>
      <w:r w:rsidR="0035420A">
        <w:t xml:space="preserve"> for </w:t>
      </w:r>
      <w:r w:rsidR="001900DB">
        <w:t xml:space="preserve">the </w:t>
      </w:r>
      <w:r w:rsidR="0035420A">
        <w:t xml:space="preserve">first 15 months, afterwards </w:t>
      </w:r>
      <w:r w:rsidR="001900DB">
        <w:t xml:space="preserve">the </w:t>
      </w:r>
      <w:r w:rsidR="0035420A">
        <w:t xml:space="preserve">permission applies to any </w:t>
      </w:r>
      <w:r w:rsidR="0035420A" w:rsidRPr="000C48F8">
        <w:t xml:space="preserve">2′-FL produced using </w:t>
      </w:r>
      <w:r w:rsidR="0035420A" w:rsidRPr="000C48F8">
        <w:rPr>
          <w:i/>
        </w:rPr>
        <w:t>E. coli</w:t>
      </w:r>
      <w:r w:rsidR="0035420A" w:rsidRPr="000C48F8">
        <w:t xml:space="preserve"> K-12 containing the gene for alpha-1,2-fucosyltransferase from </w:t>
      </w:r>
      <w:r w:rsidR="0035420A" w:rsidRPr="000C48F8">
        <w:rPr>
          <w:i/>
        </w:rPr>
        <w:t>Bacteroides vulgatus</w:t>
      </w:r>
      <w:r w:rsidR="0035420A">
        <w:t>.</w:t>
      </w:r>
    </w:p>
    <w:p w14:paraId="078937FE" w14:textId="73F8AD19" w:rsidR="00EA0F56" w:rsidRPr="00E0155D" w:rsidRDefault="00EA0F56" w:rsidP="00EA0F56">
      <w:pPr>
        <w:pStyle w:val="FSBullet1"/>
        <w:numPr>
          <w:ilvl w:val="0"/>
          <w:numId w:val="5"/>
        </w:numPr>
        <w:spacing w:before="0" w:after="0"/>
        <w:ind w:left="567" w:hanging="567"/>
      </w:pPr>
      <w:r w:rsidRPr="00E0155D">
        <w:t xml:space="preserve">The existing prohibition for the use of 2′-FL with </w:t>
      </w:r>
      <w:r w:rsidRPr="00E0155D">
        <w:rPr>
          <w:rFonts w:eastAsia="Calibri"/>
        </w:rPr>
        <w:t>GOS and ITF w</w:t>
      </w:r>
      <w:r>
        <w:rPr>
          <w:rFonts w:eastAsia="Calibri"/>
        </w:rPr>
        <w:t>ould</w:t>
      </w:r>
      <w:r w:rsidRPr="00E0155D">
        <w:rPr>
          <w:rFonts w:eastAsia="Calibri"/>
        </w:rPr>
        <w:t xml:space="preserve"> apply to I</w:t>
      </w:r>
      <w:r>
        <w:rPr>
          <w:rFonts w:eastAsia="Calibri"/>
        </w:rPr>
        <w:t>FP</w:t>
      </w:r>
      <w:r w:rsidRPr="00E0155D">
        <w:rPr>
          <w:rFonts w:eastAsia="Calibri"/>
        </w:rPr>
        <w:t xml:space="preserve"> that contain the </w:t>
      </w:r>
      <w:r w:rsidRPr="000C48F8">
        <w:rPr>
          <w:rFonts w:eastAsia="Calibri"/>
        </w:rPr>
        <w:t xml:space="preserve">2′-FL </w:t>
      </w:r>
      <w:r w:rsidR="00596CFF">
        <w:rPr>
          <w:rFonts w:eastAsia="Calibri"/>
        </w:rPr>
        <w:t xml:space="preserve">derived from </w:t>
      </w:r>
      <w:r w:rsidR="00597DE0" w:rsidRPr="000F77C7">
        <w:rPr>
          <w:i/>
        </w:rPr>
        <w:t>E. coli</w:t>
      </w:r>
      <w:r w:rsidR="00597DE0" w:rsidRPr="00E72505">
        <w:t xml:space="preserve"> K-12 containing the gene for alpha-1,2-fucosyltransferase from </w:t>
      </w:r>
      <w:r w:rsidR="00597DE0" w:rsidRPr="000F77C7">
        <w:rPr>
          <w:i/>
        </w:rPr>
        <w:t>Bacteroides vulgatus</w:t>
      </w:r>
      <w:r w:rsidRPr="00E0155D">
        <w:rPr>
          <w:rFonts w:eastAsia="Calibri"/>
        </w:rPr>
        <w:t>.</w:t>
      </w:r>
    </w:p>
    <w:p w14:paraId="3635CFAF" w14:textId="381590AC" w:rsidR="00EA0F56" w:rsidRPr="00E0155D" w:rsidRDefault="00EA0F56" w:rsidP="00EA0F56">
      <w:pPr>
        <w:pStyle w:val="FSBullet1"/>
        <w:numPr>
          <w:ilvl w:val="0"/>
          <w:numId w:val="5"/>
        </w:numPr>
        <w:spacing w:before="0" w:after="0"/>
        <w:ind w:left="567" w:hanging="567"/>
      </w:pPr>
      <w:r w:rsidRPr="00E0155D">
        <w:t>The existing prohibition for the use of the words ‘human milk identical oligosaccharide’ or ‘human milk oligosaccharide’, and abbreviations ‘HMO’, ‘HiMO’ or any word or words or abbreviations having the same or similar effect, w</w:t>
      </w:r>
      <w:r w:rsidR="003E2167">
        <w:t>ould</w:t>
      </w:r>
      <w:r w:rsidRPr="00E0155D">
        <w:t xml:space="preserve"> apply to I</w:t>
      </w:r>
      <w:r>
        <w:t>FP</w:t>
      </w:r>
      <w:r w:rsidRPr="00E0155D">
        <w:t xml:space="preserve"> that contain the </w:t>
      </w:r>
      <w:r w:rsidRPr="000C48F8">
        <w:t xml:space="preserve">2′-FL </w:t>
      </w:r>
      <w:r w:rsidR="00596CFF">
        <w:t xml:space="preserve">derived from </w:t>
      </w:r>
      <w:r w:rsidR="00597DE0" w:rsidRPr="000F77C7">
        <w:rPr>
          <w:i/>
        </w:rPr>
        <w:t>E. coli</w:t>
      </w:r>
      <w:r w:rsidR="00597DE0" w:rsidRPr="00E72505">
        <w:t xml:space="preserve"> K-12 containing the gene for alpha-1,2-fucosyltransferase from </w:t>
      </w:r>
      <w:r w:rsidR="00597DE0" w:rsidRPr="000F77C7">
        <w:rPr>
          <w:i/>
        </w:rPr>
        <w:t>Bacteroides vulgatus</w:t>
      </w:r>
      <w:r w:rsidRPr="00E0155D">
        <w:t xml:space="preserve">. </w:t>
      </w:r>
    </w:p>
    <w:p w14:paraId="496D4032" w14:textId="72FE2B8A" w:rsidR="00EA0F56" w:rsidRPr="00E0155D" w:rsidRDefault="00EA0F56" w:rsidP="00EA0F56">
      <w:pPr>
        <w:pStyle w:val="FSBullet1"/>
        <w:numPr>
          <w:ilvl w:val="0"/>
          <w:numId w:val="5"/>
        </w:numPr>
        <w:spacing w:before="0" w:after="0"/>
        <w:ind w:left="567" w:hanging="567"/>
      </w:pPr>
      <w:r w:rsidRPr="00E0155D">
        <w:t xml:space="preserve">An exclusive permission to use </w:t>
      </w:r>
      <w:r w:rsidRPr="000C48F8">
        <w:rPr>
          <w:rFonts w:eastAsia="Calibri"/>
        </w:rPr>
        <w:t xml:space="preserve">2′-FL </w:t>
      </w:r>
      <w:r w:rsidR="00596CFF">
        <w:rPr>
          <w:rFonts w:eastAsia="Calibri"/>
        </w:rPr>
        <w:t xml:space="preserve">derived from </w:t>
      </w:r>
      <w:r w:rsidR="00597DE0" w:rsidRPr="000F77C7">
        <w:rPr>
          <w:i/>
        </w:rPr>
        <w:t>E. coli</w:t>
      </w:r>
      <w:r w:rsidR="00597DE0" w:rsidRPr="00E72505">
        <w:t xml:space="preserve"> K-12 containing the gene for alpha-1,2-fucosyltransferase from </w:t>
      </w:r>
      <w:r w:rsidR="00597DE0" w:rsidRPr="000F77C7">
        <w:rPr>
          <w:i/>
        </w:rPr>
        <w:t>Bacteroides vulgatus</w:t>
      </w:r>
      <w:r w:rsidR="00597DE0" w:rsidRPr="002F37D6" w:rsidDel="00597DE0">
        <w:t xml:space="preserve"> </w:t>
      </w:r>
      <w:r w:rsidRPr="00E0155D">
        <w:t xml:space="preserve">will apply for a period of 15 months, linked to the </w:t>
      </w:r>
      <w:r w:rsidR="00DF6DB2">
        <w:t>applicant</w:t>
      </w:r>
      <w:r w:rsidRPr="00E0155D">
        <w:t xml:space="preserve">’s brand name ‘Aequival® </w:t>
      </w:r>
      <w:r>
        <w:t>2′-FL</w:t>
      </w:r>
      <w:r w:rsidRPr="00E0155D">
        <w:t>’, commencing on the date of gazettal of the approved draft variation.</w:t>
      </w:r>
    </w:p>
    <w:p w14:paraId="6D14312C" w14:textId="75BD6CFE" w:rsidR="007127E1" w:rsidDel="007127E1" w:rsidRDefault="007127E1" w:rsidP="007127E1">
      <w:pPr>
        <w:pStyle w:val="FSBullet1"/>
        <w:numPr>
          <w:ilvl w:val="0"/>
          <w:numId w:val="5"/>
        </w:numPr>
        <w:spacing w:before="0" w:after="0"/>
        <w:ind w:left="567" w:hanging="567"/>
      </w:pPr>
      <w:r w:rsidRPr="00FC1084">
        <w:t xml:space="preserve">Schedule 3 of the Code will set </w:t>
      </w:r>
      <w:r w:rsidR="00F2042B">
        <w:t xml:space="preserve">a </w:t>
      </w:r>
      <w:r w:rsidRPr="00FC1084">
        <w:t xml:space="preserve">specification for </w:t>
      </w:r>
      <w:r>
        <w:t>this</w:t>
      </w:r>
      <w:r w:rsidRPr="00FC1084">
        <w:t xml:space="preserve"> 2′-FL, with which </w:t>
      </w:r>
      <w:r w:rsidR="00F2042B">
        <w:t>that</w:t>
      </w:r>
      <w:r w:rsidRPr="00FC1084">
        <w:t xml:space="preserve"> </w:t>
      </w:r>
      <w:r w:rsidR="00F2042B" w:rsidRPr="00FC1084">
        <w:t xml:space="preserve">2′-FL </w:t>
      </w:r>
      <w:r w:rsidRPr="00FC1084">
        <w:t>must comply</w:t>
      </w:r>
      <w:r>
        <w:t>.</w:t>
      </w:r>
    </w:p>
    <w:p w14:paraId="7DBF8618" w14:textId="7A8DA044" w:rsidR="007127E1" w:rsidRPr="00FC1084" w:rsidRDefault="00597DE0" w:rsidP="00597DE0">
      <w:pPr>
        <w:pStyle w:val="FSBullet1"/>
        <w:numPr>
          <w:ilvl w:val="0"/>
          <w:numId w:val="5"/>
        </w:numPr>
        <w:spacing w:before="0" w:after="0"/>
        <w:ind w:left="567" w:hanging="567"/>
      </w:pPr>
      <w:r>
        <w:t>T</w:t>
      </w:r>
      <w:r w:rsidR="007127E1" w:rsidRPr="00FC1084">
        <w:t xml:space="preserve">he permission is subject to the outcome of the five year review which will reassess evidence of a substantiated beneficial role of 2′-FL in </w:t>
      </w:r>
      <w:r w:rsidR="007127E1" w:rsidRPr="007127E1">
        <w:rPr>
          <w:color w:val="222222"/>
          <w:szCs w:val="22"/>
          <w:shd w:val="clear" w:color="auto" w:fill="FFFFFF"/>
        </w:rPr>
        <w:t>the normal growth and development of</w:t>
      </w:r>
      <w:r w:rsidR="007127E1" w:rsidRPr="00FC1084">
        <w:t xml:space="preserve"> infants.</w:t>
      </w:r>
    </w:p>
    <w:p w14:paraId="37884067" w14:textId="77777777" w:rsidR="007127E1" w:rsidRPr="001B4812" w:rsidRDefault="007127E1" w:rsidP="007127E1">
      <w:pPr>
        <w:widowControl/>
        <w:spacing w:before="120" w:after="120"/>
        <w:rPr>
          <w:lang w:val="en-AU"/>
        </w:rPr>
      </w:pPr>
      <w:r w:rsidRPr="00FC1084">
        <w:t>The approved</w:t>
      </w:r>
      <w:r>
        <w:t xml:space="preserve"> draft variation is at Attachment A. The explanatory statement for the variation is at Attachment B.</w:t>
      </w:r>
      <w:r w:rsidDel="000962FB">
        <w:t xml:space="preserve"> </w:t>
      </w:r>
      <w:r w:rsidRPr="00C67B14">
        <w:t>The draft variation on which submissions were sought is at Attachment C.</w:t>
      </w:r>
    </w:p>
    <w:p w14:paraId="46D91652" w14:textId="4CE529F6" w:rsidR="00A7422F" w:rsidRPr="00DE5CC1" w:rsidRDefault="00A7422F" w:rsidP="006976DB">
      <w:pPr>
        <w:pStyle w:val="FSCh1Chap"/>
      </w:pPr>
      <w:bookmarkStart w:id="100" w:name="_Toc300933435"/>
      <w:bookmarkStart w:id="101" w:name="_Toc73104834"/>
      <w:bookmarkStart w:id="102" w:name="_Toc77338783"/>
      <w:bookmarkStart w:id="103" w:name="_Toc100402958"/>
      <w:bookmarkEnd w:id="77"/>
      <w:bookmarkEnd w:id="78"/>
      <w:r w:rsidRPr="00DE5CC1">
        <w:lastRenderedPageBreak/>
        <w:t>Risk communication</w:t>
      </w:r>
      <w:bookmarkEnd w:id="100"/>
      <w:bookmarkEnd w:id="101"/>
      <w:bookmarkEnd w:id="102"/>
      <w:bookmarkEnd w:id="103"/>
      <w:r w:rsidRPr="00DE5CC1">
        <w:t xml:space="preserve"> </w:t>
      </w:r>
    </w:p>
    <w:p w14:paraId="113A1977" w14:textId="79313A40" w:rsidR="00A7422F" w:rsidRPr="00DE5CC1" w:rsidRDefault="00246EBF" w:rsidP="00DE5CC1">
      <w:pPr>
        <w:pStyle w:val="Heading2"/>
      </w:pPr>
      <w:bookmarkStart w:id="104" w:name="_Toc300933437"/>
      <w:bookmarkStart w:id="105" w:name="_Toc73104835"/>
      <w:bookmarkStart w:id="106" w:name="_Toc77338784"/>
      <w:bookmarkStart w:id="107" w:name="_Toc100402959"/>
      <w:r>
        <w:t>4</w:t>
      </w:r>
      <w:r w:rsidR="00A7422F" w:rsidRPr="00DE5CC1">
        <w:t>.1</w:t>
      </w:r>
      <w:r w:rsidR="00A7422F" w:rsidRPr="00DE5CC1">
        <w:tab/>
        <w:t>Consultation</w:t>
      </w:r>
      <w:bookmarkEnd w:id="104"/>
      <w:bookmarkEnd w:id="105"/>
      <w:bookmarkEnd w:id="106"/>
      <w:bookmarkEnd w:id="107"/>
    </w:p>
    <w:p w14:paraId="2A366CAB" w14:textId="77777777" w:rsidR="00E24CDF" w:rsidRDefault="00A7422F" w:rsidP="00510B7A">
      <w:pPr>
        <w:widowControl/>
        <w:spacing w:before="120" w:after="120"/>
        <w:rPr>
          <w:szCs w:val="22"/>
        </w:rPr>
      </w:pPr>
      <w:r w:rsidRPr="0027513D">
        <w:rPr>
          <w:szCs w:val="22"/>
        </w:rPr>
        <w:t>Consultation is a key part of FSANZ’s</w:t>
      </w:r>
      <w:r>
        <w:rPr>
          <w:szCs w:val="22"/>
        </w:rPr>
        <w:t xml:space="preserve"> standards development process.</w:t>
      </w:r>
    </w:p>
    <w:p w14:paraId="2AA2F6E4" w14:textId="46F3E7D5" w:rsidR="00C41213" w:rsidRDefault="00A7422F" w:rsidP="00510B7A">
      <w:pPr>
        <w:widowControl/>
        <w:spacing w:before="120" w:after="120"/>
        <w:rPr>
          <w:color w:val="000000" w:themeColor="text1"/>
          <w:szCs w:val="22"/>
        </w:rPr>
      </w:pPr>
      <w:r w:rsidRPr="005C323B">
        <w:rPr>
          <w:szCs w:val="22"/>
        </w:rPr>
        <w:t xml:space="preserve">FSANZ developed </w:t>
      </w:r>
      <w:r w:rsidR="00C41213">
        <w:rPr>
          <w:szCs w:val="22"/>
        </w:rPr>
        <w:t xml:space="preserve">and applied </w:t>
      </w:r>
      <w:r w:rsidRPr="005C323B">
        <w:rPr>
          <w:szCs w:val="22"/>
        </w:rPr>
        <w:t>a</w:t>
      </w:r>
      <w:r w:rsidR="00C41213">
        <w:rPr>
          <w:szCs w:val="22"/>
        </w:rPr>
        <w:t xml:space="preserve"> standard</w:t>
      </w:r>
      <w:r w:rsidRPr="005C323B">
        <w:rPr>
          <w:szCs w:val="22"/>
        </w:rPr>
        <w:t xml:space="preserve"> communication strategy </w:t>
      </w:r>
      <w:r w:rsidR="00C41213">
        <w:rPr>
          <w:szCs w:val="22"/>
        </w:rPr>
        <w:t>to this</w:t>
      </w:r>
      <w:r w:rsidRPr="005C323B">
        <w:rPr>
          <w:szCs w:val="22"/>
        </w:rPr>
        <w:t xml:space="preserve"> application. Subscribers and interested parties were notified </w:t>
      </w:r>
      <w:r w:rsidRPr="005C323B">
        <w:rPr>
          <w:color w:val="000000" w:themeColor="text1"/>
          <w:szCs w:val="22"/>
        </w:rPr>
        <w:t xml:space="preserve">about </w:t>
      </w:r>
      <w:r w:rsidR="00C41213">
        <w:rPr>
          <w:color w:val="000000" w:themeColor="text1"/>
          <w:szCs w:val="22"/>
        </w:rPr>
        <w:t xml:space="preserve">the </w:t>
      </w:r>
      <w:r w:rsidRPr="005C323B">
        <w:rPr>
          <w:color w:val="000000" w:themeColor="text1"/>
          <w:szCs w:val="22"/>
        </w:rPr>
        <w:t xml:space="preserve">public consultation period via the FSANZ </w:t>
      </w:r>
      <w:r w:rsidR="00C41213">
        <w:rPr>
          <w:color w:val="000000" w:themeColor="text1"/>
          <w:szCs w:val="22"/>
        </w:rPr>
        <w:t xml:space="preserve">Standards </w:t>
      </w:r>
      <w:r w:rsidRPr="005C323B">
        <w:rPr>
          <w:color w:val="000000" w:themeColor="text1"/>
          <w:szCs w:val="22"/>
        </w:rPr>
        <w:t>Notification Circular</w:t>
      </w:r>
      <w:r w:rsidR="00C41213">
        <w:rPr>
          <w:color w:val="000000" w:themeColor="text1"/>
          <w:szCs w:val="22"/>
        </w:rPr>
        <w:t xml:space="preserve">. </w:t>
      </w:r>
      <w:r w:rsidR="00C41213" w:rsidRPr="00C626C5">
        <w:rPr>
          <w:rFonts w:cs="Arial"/>
          <w:color w:val="000000"/>
        </w:rPr>
        <w:t>A media release, FSANZ’s social media tools and Food Standards News were also used to raise awareness in the community regarding the opportunity for comment.</w:t>
      </w:r>
    </w:p>
    <w:p w14:paraId="290BC8B1" w14:textId="271D34FB" w:rsidR="00A7422F" w:rsidRPr="009620D7" w:rsidRDefault="009620D7" w:rsidP="009620D7">
      <w:pPr>
        <w:pStyle w:val="CommentText"/>
        <w:rPr>
          <w:sz w:val="22"/>
          <w:szCs w:val="22"/>
        </w:rPr>
      </w:pPr>
      <w:r w:rsidRPr="009620D7">
        <w:rPr>
          <w:color w:val="000000" w:themeColor="text1"/>
          <w:sz w:val="22"/>
          <w:szCs w:val="22"/>
        </w:rPr>
        <w:t xml:space="preserve">A public consultation paper called for submissions on FSANZ’s assessment and on a draft variation from 6 December 2021 to 31 January 2022. </w:t>
      </w:r>
      <w:r w:rsidR="005909BF" w:rsidRPr="009620D7">
        <w:rPr>
          <w:sz w:val="22"/>
          <w:szCs w:val="22"/>
        </w:rPr>
        <w:t xml:space="preserve">FSANZ received 8 submissions. </w:t>
      </w:r>
      <w:r w:rsidR="00C41213" w:rsidRPr="009620D7">
        <w:rPr>
          <w:sz w:val="22"/>
          <w:szCs w:val="22"/>
        </w:rPr>
        <w:t xml:space="preserve">FSANZ </w:t>
      </w:r>
      <w:r w:rsidR="007127E1" w:rsidRPr="009620D7">
        <w:rPr>
          <w:sz w:val="22"/>
          <w:szCs w:val="22"/>
        </w:rPr>
        <w:t xml:space="preserve">had regard to </w:t>
      </w:r>
      <w:r w:rsidR="00C41213" w:rsidRPr="009620D7">
        <w:rPr>
          <w:sz w:val="22"/>
          <w:szCs w:val="22"/>
        </w:rPr>
        <w:t>all submissions received for this application</w:t>
      </w:r>
      <w:r w:rsidR="00462771" w:rsidRPr="009620D7">
        <w:rPr>
          <w:sz w:val="22"/>
          <w:szCs w:val="22"/>
        </w:rPr>
        <w:t xml:space="preserve"> as part of its assessment</w:t>
      </w:r>
      <w:r w:rsidR="00C41213" w:rsidRPr="009620D7">
        <w:rPr>
          <w:sz w:val="22"/>
          <w:szCs w:val="22"/>
        </w:rPr>
        <w:t>.</w:t>
      </w:r>
    </w:p>
    <w:p w14:paraId="55548F1E" w14:textId="6A9EDF15" w:rsidR="00C41213" w:rsidRPr="001B4812" w:rsidRDefault="002C1A3B" w:rsidP="00510B7A">
      <w:pPr>
        <w:spacing w:before="120" w:after="120"/>
        <w:rPr>
          <w:szCs w:val="22"/>
        </w:rPr>
      </w:pPr>
      <w:r w:rsidRPr="00A7422F">
        <w:rPr>
          <w:szCs w:val="22"/>
        </w:rPr>
        <w:t xml:space="preserve">FSANZ acknowledges the time taken by individuals and organisations to make submissions on this </w:t>
      </w:r>
      <w:r w:rsidR="00C41213">
        <w:rPr>
          <w:szCs w:val="22"/>
        </w:rPr>
        <w:t>a</w:t>
      </w:r>
      <w:r w:rsidRPr="00A7422F">
        <w:rPr>
          <w:szCs w:val="22"/>
        </w:rPr>
        <w:t xml:space="preserve">pplication. </w:t>
      </w:r>
      <w:r w:rsidRPr="002C1A3B">
        <w:rPr>
          <w:szCs w:val="22"/>
        </w:rPr>
        <w:t xml:space="preserve">Every submission </w:t>
      </w:r>
      <w:r w:rsidR="00FF1B03">
        <w:rPr>
          <w:szCs w:val="22"/>
        </w:rPr>
        <w:t>wa</w:t>
      </w:r>
      <w:r w:rsidR="00862349">
        <w:rPr>
          <w:szCs w:val="22"/>
        </w:rPr>
        <w:t>s considered</w:t>
      </w:r>
      <w:r w:rsidRPr="002C1A3B">
        <w:rPr>
          <w:szCs w:val="22"/>
        </w:rPr>
        <w:t xml:space="preserve"> by </w:t>
      </w:r>
      <w:r w:rsidR="00862349">
        <w:rPr>
          <w:szCs w:val="22"/>
        </w:rPr>
        <w:t xml:space="preserve">the </w:t>
      </w:r>
      <w:r w:rsidRPr="002C1A3B">
        <w:rPr>
          <w:szCs w:val="22"/>
        </w:rPr>
        <w:t xml:space="preserve">FSANZ </w:t>
      </w:r>
      <w:r w:rsidR="00862349">
        <w:rPr>
          <w:szCs w:val="22"/>
        </w:rPr>
        <w:t>Board</w:t>
      </w:r>
      <w:r w:rsidRPr="002C1A3B">
        <w:rPr>
          <w:szCs w:val="22"/>
        </w:rPr>
        <w:t xml:space="preserve">. </w:t>
      </w:r>
      <w:r w:rsidR="00862349">
        <w:rPr>
          <w:szCs w:val="22"/>
        </w:rPr>
        <w:t>A</w:t>
      </w:r>
      <w:r w:rsidRPr="002C1A3B">
        <w:rPr>
          <w:szCs w:val="22"/>
        </w:rPr>
        <w:t xml:space="preserve">ll comments are valued and contribute to the rigour of our assessment. </w:t>
      </w:r>
    </w:p>
    <w:p w14:paraId="5209B43D" w14:textId="58E2274F" w:rsidR="00A7422F" w:rsidRPr="00DE5CC1" w:rsidRDefault="00246EBF" w:rsidP="00DE5CC1">
      <w:pPr>
        <w:pStyle w:val="Heading1"/>
      </w:pPr>
      <w:bookmarkStart w:id="108" w:name="_Toc370223477"/>
      <w:bookmarkStart w:id="109" w:name="_Toc370225392"/>
      <w:bookmarkStart w:id="110" w:name="_Toc309291816"/>
      <w:bookmarkStart w:id="111" w:name="_Toc300933448"/>
      <w:bookmarkStart w:id="112" w:name="_Toc300933577"/>
      <w:bookmarkStart w:id="113" w:name="_Toc301535601"/>
      <w:bookmarkStart w:id="114" w:name="_Toc309385464"/>
      <w:bookmarkStart w:id="115" w:name="_Toc73104837"/>
      <w:bookmarkStart w:id="116" w:name="_Toc77338786"/>
      <w:bookmarkStart w:id="117" w:name="_Toc100402960"/>
      <w:bookmarkStart w:id="118" w:name="_Toc175381456"/>
      <w:bookmarkEnd w:id="54"/>
      <w:bookmarkEnd w:id="55"/>
      <w:bookmarkEnd w:id="56"/>
      <w:bookmarkEnd w:id="57"/>
      <w:bookmarkEnd w:id="58"/>
      <w:bookmarkEnd w:id="59"/>
      <w:bookmarkEnd w:id="79"/>
      <w:bookmarkEnd w:id="108"/>
      <w:bookmarkEnd w:id="109"/>
      <w:bookmarkEnd w:id="110"/>
      <w:bookmarkEnd w:id="111"/>
      <w:bookmarkEnd w:id="112"/>
      <w:bookmarkEnd w:id="113"/>
      <w:bookmarkEnd w:id="114"/>
      <w:r>
        <w:t>5</w:t>
      </w:r>
      <w:r w:rsidR="00A7422F" w:rsidRPr="00DE5CC1">
        <w:tab/>
        <w:t>FSANZ Act assessment requirements</w:t>
      </w:r>
      <w:bookmarkEnd w:id="115"/>
      <w:bookmarkEnd w:id="116"/>
      <w:bookmarkEnd w:id="117"/>
    </w:p>
    <w:p w14:paraId="600ABC2B" w14:textId="77777777" w:rsidR="00170BD0" w:rsidRDefault="00170BD0" w:rsidP="00170BD0">
      <w:pPr>
        <w:pStyle w:val="Heading2"/>
      </w:pPr>
      <w:bookmarkStart w:id="119" w:name="_Toc89242792"/>
      <w:bookmarkStart w:id="120" w:name="_Toc100402961"/>
      <w:bookmarkStart w:id="121" w:name="_Toc73104838"/>
      <w:bookmarkStart w:id="122" w:name="_Toc77338787"/>
      <w:r>
        <w:t>5.1</w:t>
      </w:r>
      <w:r>
        <w:tab/>
      </w:r>
      <w:r w:rsidRPr="00CB4871">
        <w:t>Section 29</w:t>
      </w:r>
      <w:bookmarkEnd w:id="119"/>
      <w:bookmarkEnd w:id="120"/>
    </w:p>
    <w:p w14:paraId="16E1B941" w14:textId="77777777" w:rsidR="00170BD0" w:rsidRPr="00914030" w:rsidRDefault="00170BD0" w:rsidP="00170BD0">
      <w:r w:rsidRPr="00914030">
        <w:t xml:space="preserve">When </w:t>
      </w:r>
      <w:r w:rsidRPr="00CB4871">
        <w:t xml:space="preserve">assessing this </w:t>
      </w:r>
      <w:r>
        <w:t>application</w:t>
      </w:r>
      <w:r w:rsidRPr="00CB4871">
        <w:t xml:space="preserve"> and the subsequent development of a food regulatory measure, FSANZ has had regard to the </w:t>
      </w:r>
      <w:r w:rsidRPr="00CB4871" w:rsidDel="00932F14">
        <w:t xml:space="preserve">following </w:t>
      </w:r>
      <w:r w:rsidRPr="00CB4871">
        <w:t xml:space="preserve">matters in section 29 of the </w:t>
      </w:r>
      <w:r w:rsidRPr="00914030">
        <w:t>FSANZ Act:</w:t>
      </w:r>
    </w:p>
    <w:p w14:paraId="6C8CC136" w14:textId="77777777" w:rsidR="00170BD0" w:rsidRDefault="00170BD0" w:rsidP="00170BD0">
      <w:pPr>
        <w:pStyle w:val="Heading3"/>
      </w:pPr>
      <w:r>
        <w:t>5.1.1</w:t>
      </w:r>
      <w:r>
        <w:tab/>
        <w:t xml:space="preserve">Consideration </w:t>
      </w:r>
      <w:r>
        <w:rPr>
          <w:lang w:val="en-AU"/>
        </w:rPr>
        <w:t>of costs and benefits</w:t>
      </w:r>
    </w:p>
    <w:p w14:paraId="6EDD2335" w14:textId="77777777" w:rsidR="00170BD0" w:rsidRPr="00023745" w:rsidRDefault="00170BD0" w:rsidP="003763D0">
      <w:r>
        <w:t>The Office of Best Practice Regulation (OBPR) granted FSANZ a standing exemption from the requirement to develop a Regulatory Impact Statement (RIS) for permitting genetically modified foods (OBPR correspondence dated 24 November 2010, reference 12065) and for the voluntary addition of nutritive substances to foods (OBPR correspondence dated 16 April 2013, reference 14943).</w:t>
      </w:r>
    </w:p>
    <w:p w14:paraId="349CAC5A" w14:textId="77777777" w:rsidR="00170BD0" w:rsidRPr="00023745" w:rsidRDefault="00170BD0" w:rsidP="00170BD0">
      <w:pPr>
        <w:rPr>
          <w:rFonts w:cs="Arial"/>
        </w:rPr>
      </w:pPr>
      <w:r w:rsidRPr="00023745">
        <w:rPr>
          <w:rFonts w:cs="Arial"/>
        </w:rPr>
        <w:t xml:space="preserve">FSANZ, however, has given consideration to the costs and benefits that may arise from the proposed measure for the purposes of meeting FSANZ Act considerations. </w:t>
      </w:r>
      <w:r w:rsidRPr="0043509B">
        <w:rPr>
          <w:rFonts w:cs="Arial"/>
        </w:rPr>
        <w:t xml:space="preserve">The FSANZ Act requires FSANZ to have regard to whether costs that would arise from the proposed measure outweigh the direct and indirect benefits to the community, government or industry that would arise from the proposed measure </w:t>
      </w:r>
      <w:r w:rsidRPr="00023745">
        <w:rPr>
          <w:rFonts w:cs="Arial"/>
        </w:rPr>
        <w:t xml:space="preserve">(paragraph 29(2)(a)). </w:t>
      </w:r>
    </w:p>
    <w:p w14:paraId="798CDB86" w14:textId="43D24CA5" w:rsidR="00170BD0" w:rsidRDefault="00170BD0" w:rsidP="00170BD0">
      <w:r w:rsidRPr="00023745" w:rsidDel="007A476B">
        <w:t xml:space="preserve">The purpose of this consideration is to determine if the community, government, and industry as a whole is likely to benefit, on balance, from a move from the status quo (where status quo is rejecting the </w:t>
      </w:r>
      <w:r>
        <w:t>application</w:t>
      </w:r>
      <w:r w:rsidRPr="00023745" w:rsidDel="007A476B">
        <w:t>)</w:t>
      </w:r>
      <w:r w:rsidRPr="00023745">
        <w:t>.</w:t>
      </w:r>
      <w:r>
        <w:t xml:space="preserve"> This analysis considers permitting the </w:t>
      </w:r>
      <w:r w:rsidRPr="00BD6A59">
        <w:t xml:space="preserve">genetically modified </w:t>
      </w:r>
      <w:r w:rsidR="00596CFF">
        <w:t>production strain</w:t>
      </w:r>
      <w:r>
        <w:t>,</w:t>
      </w:r>
      <w:r w:rsidRPr="00BD6A59">
        <w:t xml:space="preserve"> for the production of </w:t>
      </w:r>
      <w:r>
        <w:t>2′-FL</w:t>
      </w:r>
      <w:r w:rsidRPr="00BD6A59">
        <w:t xml:space="preserve"> by fermentation.</w:t>
      </w:r>
      <w:r>
        <w:t xml:space="preserve"> </w:t>
      </w:r>
      <w:r>
        <w:rPr>
          <w:rFonts w:cs="Arial"/>
          <w:color w:val="000000" w:themeColor="text1"/>
        </w:rPr>
        <w:t>FSANZ is of the view that no other realistic food regulatory measures exist, however information received during public consultation may result in FSANZ arriving at a different outcome.</w:t>
      </w:r>
    </w:p>
    <w:p w14:paraId="2BCE93ED" w14:textId="4807DD62" w:rsidR="00170BD0" w:rsidRDefault="00170BD0" w:rsidP="008E6FE4">
      <w:r w:rsidRPr="00824CF4">
        <w:t>The consideration of the costs and benefits in this section is not intended to be an exhaustive, quantitative economic analysis of the proposed measures</w:t>
      </w:r>
      <w:r>
        <w:t>.</w:t>
      </w:r>
      <w:r w:rsidRPr="00824CF4">
        <w:t xml:space="preserve"> </w:t>
      </w:r>
      <w:r>
        <w:t>I</w:t>
      </w:r>
      <w:r w:rsidRPr="00824CF4">
        <w:t xml:space="preserve">n fact, most of the effects that were considered cannot easily be assigned a dollar value. Rather, the </w:t>
      </w:r>
      <w:r w:rsidRPr="00824CF4">
        <w:lastRenderedPageBreak/>
        <w:t xml:space="preserve">assessment seeks to highlight the likely positives and negatives of </w:t>
      </w:r>
      <w:r>
        <w:t>permitting the</w:t>
      </w:r>
      <w:r w:rsidRPr="00BD6A59">
        <w:t xml:space="preserve"> </w:t>
      </w:r>
      <w:r>
        <w:t xml:space="preserve">new </w:t>
      </w:r>
      <w:r w:rsidR="00596CFF">
        <w:t>production strain</w:t>
      </w:r>
      <w:r>
        <w:t>,</w:t>
      </w:r>
      <w:r w:rsidRPr="00BD6A59">
        <w:t xml:space="preserve"> for the production of </w:t>
      </w:r>
      <w:r>
        <w:t>2′-FL,</w:t>
      </w:r>
      <w:r w:rsidRPr="00CD7084">
        <w:rPr>
          <w:lang w:bidi="ar-SA"/>
        </w:rPr>
        <w:t xml:space="preserve"> </w:t>
      </w:r>
      <w:r>
        <w:rPr>
          <w:lang w:bidi="ar-SA"/>
        </w:rPr>
        <w:t>a beneficial human milk oligosaccharide,</w:t>
      </w:r>
      <w:r>
        <w:t xml:space="preserve"> </w:t>
      </w:r>
      <w:r w:rsidRPr="00F034AF">
        <w:t xml:space="preserve">for addition to </w:t>
      </w:r>
      <w:r>
        <w:t>IFP</w:t>
      </w:r>
      <w:r w:rsidRPr="00BD6A59">
        <w:t>.</w:t>
      </w:r>
    </w:p>
    <w:p w14:paraId="2F0DA279" w14:textId="3096AE01" w:rsidR="00170BD0" w:rsidRDefault="00170BD0" w:rsidP="008E6FE4">
      <w:r>
        <w:rPr>
          <w:color w:val="000000" w:themeColor="text1"/>
        </w:rPr>
        <w:t xml:space="preserve">Due to the voluntary nature of the permission, industry will </w:t>
      </w:r>
      <w:r w:rsidR="00596CFF">
        <w:rPr>
          <w:color w:val="000000" w:themeColor="text1"/>
        </w:rPr>
        <w:t xml:space="preserve">produce </w:t>
      </w:r>
      <w:r w:rsidR="00596CFF">
        <w:rPr>
          <w:lang w:bidi="ar-SA"/>
        </w:rPr>
        <w:t>2′-FL derived from the</w:t>
      </w:r>
      <w:r>
        <w:rPr>
          <w:color w:val="000000" w:themeColor="text1"/>
        </w:rPr>
        <w:t xml:space="preserve"> </w:t>
      </w:r>
      <w:r w:rsidR="00596CFF" w:rsidRPr="002F37D6">
        <w:t>production strain</w:t>
      </w:r>
      <w:r w:rsidRPr="00596CFF">
        <w:t xml:space="preserve"> </w:t>
      </w:r>
      <w:r>
        <w:rPr>
          <w:color w:val="000000" w:themeColor="text1"/>
        </w:rPr>
        <w:t xml:space="preserve">where they believe a net benefit exists for them. </w:t>
      </w:r>
      <w:r>
        <w:rPr>
          <w:lang w:bidi="ar-SA"/>
        </w:rPr>
        <w:t>2′-FL</w:t>
      </w:r>
      <w:r>
        <w:rPr>
          <w:color w:val="000000" w:themeColor="text1"/>
        </w:rPr>
        <w:t xml:space="preserve"> is a nutritive substance and it is already available to industry from a different source. It may benefit industry to have this additional way of </w:t>
      </w:r>
      <w:r w:rsidR="00596CFF">
        <w:rPr>
          <w:color w:val="000000" w:themeColor="text1"/>
        </w:rPr>
        <w:t xml:space="preserve">producing </w:t>
      </w:r>
      <w:r>
        <w:rPr>
          <w:lang w:bidi="ar-SA"/>
        </w:rPr>
        <w:t xml:space="preserve">2′-FL </w:t>
      </w:r>
      <w:r w:rsidRPr="00F034AF">
        <w:rPr>
          <w:lang w:bidi="ar-SA"/>
        </w:rPr>
        <w:t xml:space="preserve">for addition to </w:t>
      </w:r>
      <w:r>
        <w:rPr>
          <w:lang w:bidi="ar-SA"/>
        </w:rPr>
        <w:t>IFP</w:t>
      </w:r>
      <w:r>
        <w:rPr>
          <w:color w:val="000000" w:themeColor="text1"/>
        </w:rPr>
        <w:t xml:space="preserve">, especially where it saves on costs. </w:t>
      </w:r>
      <w:r>
        <w:t xml:space="preserve">This would increase competition in the manufacturing processes. </w:t>
      </w:r>
      <w:r w:rsidRPr="00E7415E">
        <w:t xml:space="preserve">A potentially greater supply and lower cost of </w:t>
      </w:r>
      <w:r>
        <w:t>2′-FL from this proposed permission</w:t>
      </w:r>
      <w:r w:rsidRPr="00E7415E">
        <w:t xml:space="preserve"> could </w:t>
      </w:r>
      <w:r>
        <w:t>also</w:t>
      </w:r>
      <w:r w:rsidRPr="00E7415E">
        <w:t xml:space="preserve"> help </w:t>
      </w:r>
      <w:r>
        <w:t>IFP</w:t>
      </w:r>
      <w:r w:rsidRPr="00E7415E">
        <w:t xml:space="preserve"> exporters that want to use 2′-FL in their products </w:t>
      </w:r>
      <w:r>
        <w:t xml:space="preserve">to </w:t>
      </w:r>
      <w:r w:rsidRPr="00E7415E">
        <w:t xml:space="preserve">compete internationally. </w:t>
      </w:r>
      <w:r>
        <w:t>Costs of producing and purchasing IFP might then reduce and availability might increase, potentially benefitting both industry and consumers.</w:t>
      </w:r>
    </w:p>
    <w:p w14:paraId="391EB85A" w14:textId="41F417FF" w:rsidR="00170BD0" w:rsidRDefault="00170BD0" w:rsidP="00170BD0">
      <w:pPr>
        <w:rPr>
          <w:lang w:bidi="ar-SA"/>
        </w:rPr>
      </w:pPr>
      <w:r>
        <w:rPr>
          <w:color w:val="000000" w:themeColor="text1"/>
        </w:rPr>
        <w:t xml:space="preserve">Industry may pass some of the cost savings to consumers where it is cheaper to </w:t>
      </w:r>
      <w:r w:rsidR="00596CFF">
        <w:rPr>
          <w:color w:val="000000" w:themeColor="text1"/>
        </w:rPr>
        <w:t xml:space="preserve">derive </w:t>
      </w:r>
      <w:r w:rsidR="00596CFF">
        <w:rPr>
          <w:lang w:bidi="ar-SA"/>
        </w:rPr>
        <w:t>2′-FL from the production strain</w:t>
      </w:r>
      <w:r>
        <w:rPr>
          <w:lang w:bidi="ar-SA"/>
        </w:rPr>
        <w:t>.</w:t>
      </w:r>
    </w:p>
    <w:p w14:paraId="6A93179B" w14:textId="7C20DC3D" w:rsidR="00170BD0" w:rsidRDefault="00170BD0" w:rsidP="008E6FE4">
      <w:r>
        <w:rPr>
          <w:lang w:bidi="ar-SA"/>
        </w:rPr>
        <w:t>Permitting this additional production</w:t>
      </w:r>
      <w:r w:rsidR="00596CFF">
        <w:rPr>
          <w:lang w:bidi="ar-SA"/>
        </w:rPr>
        <w:t xml:space="preserve"> strain</w:t>
      </w:r>
      <w:r>
        <w:rPr>
          <w:lang w:bidi="ar-SA"/>
        </w:rPr>
        <w:t xml:space="preserve"> </w:t>
      </w:r>
      <w:r w:rsidRPr="00F9067B">
        <w:rPr>
          <w:lang w:bidi="ar-SA"/>
        </w:rPr>
        <w:t xml:space="preserve">may result in a small </w:t>
      </w:r>
      <w:r>
        <w:rPr>
          <w:lang w:bidi="ar-SA"/>
        </w:rPr>
        <w:t xml:space="preserve">but likely inconsequential </w:t>
      </w:r>
      <w:r w:rsidRPr="00F9067B">
        <w:rPr>
          <w:lang w:bidi="ar-SA"/>
        </w:rPr>
        <w:t xml:space="preserve">cost to government in terms </w:t>
      </w:r>
      <w:r>
        <w:rPr>
          <w:lang w:bidi="ar-SA"/>
        </w:rPr>
        <w:t xml:space="preserve">of </w:t>
      </w:r>
      <w:r w:rsidRPr="00F9067B">
        <w:rPr>
          <w:lang w:bidi="ar-SA"/>
        </w:rPr>
        <w:t>compliance</w:t>
      </w:r>
      <w:r>
        <w:rPr>
          <w:lang w:bidi="ar-SA"/>
        </w:rPr>
        <w:t xml:space="preserve"> monitoring for an additional </w:t>
      </w:r>
      <w:r>
        <w:t>micro-organism</w:t>
      </w:r>
      <w:r w:rsidR="00596CFF">
        <w:t xml:space="preserve"> for the production of </w:t>
      </w:r>
      <w:r w:rsidR="00596CFF">
        <w:rPr>
          <w:lang w:bidi="ar-SA"/>
        </w:rPr>
        <w:t>2′-FL</w:t>
      </w:r>
      <w:r>
        <w:t>.</w:t>
      </w:r>
    </w:p>
    <w:p w14:paraId="27FD7704" w14:textId="3A2D5246" w:rsidR="00170BD0" w:rsidRPr="00D273F0" w:rsidRDefault="00170BD0" w:rsidP="00170BD0">
      <w:pPr>
        <w:rPr>
          <w:lang w:bidi="ar-SA"/>
        </w:rPr>
      </w:pPr>
      <w:r>
        <w:rPr>
          <w:lang w:bidi="ar-SA"/>
        </w:rPr>
        <w:t xml:space="preserve">This application will align Australian and New Zealand with the US and the </w:t>
      </w:r>
      <w:r w:rsidR="00FA2880">
        <w:rPr>
          <w:lang w:bidi="ar-SA"/>
        </w:rPr>
        <w:t>EU</w:t>
      </w:r>
      <w:r>
        <w:rPr>
          <w:lang w:bidi="ar-SA"/>
        </w:rPr>
        <w:t xml:space="preserve">, </w:t>
      </w:r>
      <w:r w:rsidRPr="003C205E">
        <w:rPr>
          <w:lang w:bidi="ar-SA"/>
        </w:rPr>
        <w:t xml:space="preserve">which both permit the addition of </w:t>
      </w:r>
      <w:r>
        <w:rPr>
          <w:lang w:bidi="ar-SA"/>
        </w:rPr>
        <w:t>2′-FL</w:t>
      </w:r>
      <w:r w:rsidRPr="003C205E">
        <w:rPr>
          <w:lang w:bidi="ar-SA"/>
        </w:rPr>
        <w:t xml:space="preserve"> </w:t>
      </w:r>
      <w:r w:rsidR="001933FC">
        <w:rPr>
          <w:lang w:bidi="ar-SA"/>
        </w:rPr>
        <w:t>derived from</w:t>
      </w:r>
      <w:r w:rsidRPr="003C205E">
        <w:rPr>
          <w:lang w:bidi="ar-SA"/>
        </w:rPr>
        <w:t xml:space="preserve"> </w:t>
      </w:r>
      <w:r w:rsidR="00057C19">
        <w:rPr>
          <w:lang w:bidi="ar-SA"/>
        </w:rPr>
        <w:t>the applicant’s production strain</w:t>
      </w:r>
      <w:r>
        <w:rPr>
          <w:lang w:bidi="ar-SA"/>
        </w:rPr>
        <w:t xml:space="preserve">. </w:t>
      </w:r>
    </w:p>
    <w:p w14:paraId="3D1B4E3B" w14:textId="77777777" w:rsidR="00170BD0" w:rsidRPr="00977C3C" w:rsidRDefault="00170BD0" w:rsidP="00170BD0">
      <w:pPr>
        <w:pStyle w:val="Heading4"/>
      </w:pPr>
      <w:r w:rsidRPr="00977C3C">
        <w:t>Conclusions from cost benefit considerations</w:t>
      </w:r>
    </w:p>
    <w:p w14:paraId="5B94FCA2" w14:textId="77777777" w:rsidR="00170BD0" w:rsidRDefault="00170BD0" w:rsidP="00170BD0">
      <w:pPr>
        <w:rPr>
          <w:rFonts w:cs="Arial"/>
          <w:color w:val="000000" w:themeColor="text1"/>
          <w:szCs w:val="22"/>
          <w:lang w:bidi="ar-SA"/>
        </w:rPr>
      </w:pPr>
      <w:r>
        <w:rPr>
          <w:rFonts w:cs="Arial"/>
          <w:color w:val="000000" w:themeColor="text1"/>
        </w:rPr>
        <w:t xml:space="preserve">FSANZ’s assessment is that the direct and indirect benefits that would arise from permitting genetically modified </w:t>
      </w:r>
      <w:r w:rsidRPr="00BD6A59">
        <w:rPr>
          <w:i/>
        </w:rPr>
        <w:t>E</w:t>
      </w:r>
      <w:r>
        <w:rPr>
          <w:i/>
        </w:rPr>
        <w:t>.</w:t>
      </w:r>
      <w:r w:rsidRPr="00BD6A59">
        <w:rPr>
          <w:i/>
        </w:rPr>
        <w:t xml:space="preserve"> coli</w:t>
      </w:r>
      <w:r w:rsidRPr="00BD6A59">
        <w:t xml:space="preserve"> </w:t>
      </w:r>
      <w:r>
        <w:t>K-12</w:t>
      </w:r>
      <w:r w:rsidRPr="00BD6A59">
        <w:t xml:space="preserve"> </w:t>
      </w:r>
      <w:r w:rsidRPr="00EE631C">
        <w:t>containing the gene for alpha-1,2-fucosyltransf</w:t>
      </w:r>
      <w:r>
        <w:t xml:space="preserve">erase from </w:t>
      </w:r>
      <w:r w:rsidRPr="00345B2F">
        <w:rPr>
          <w:i/>
        </w:rPr>
        <w:t>Bacteroides vulgatus</w:t>
      </w:r>
      <w:r>
        <w:rPr>
          <w:rFonts w:cs="Arial"/>
          <w:color w:val="000000" w:themeColor="text1"/>
        </w:rPr>
        <w:t xml:space="preserve">, as the microbial source for the production of </w:t>
      </w:r>
      <w:r>
        <w:rPr>
          <w:lang w:bidi="ar-SA"/>
        </w:rPr>
        <w:t>2′-FL</w:t>
      </w:r>
      <w:r>
        <w:rPr>
          <w:rFonts w:eastAsia="Calibri" w:cs="Arial"/>
          <w:i/>
          <w:iCs/>
          <w:color w:val="000000" w:themeColor="text1"/>
          <w:lang w:eastAsia="en-AU"/>
        </w:rPr>
        <w:t xml:space="preserve"> </w:t>
      </w:r>
      <w:r>
        <w:rPr>
          <w:rFonts w:cs="Arial"/>
          <w:color w:val="000000" w:themeColor="text1"/>
        </w:rPr>
        <w:t>as a nutritive food substance most likely outweigh the associated costs.</w:t>
      </w:r>
    </w:p>
    <w:p w14:paraId="7DACAC76" w14:textId="77777777" w:rsidR="00170BD0" w:rsidRDefault="00170BD0" w:rsidP="00170BD0">
      <w:pPr>
        <w:pStyle w:val="Heading3"/>
      </w:pPr>
      <w:r>
        <w:t>5.1.2</w:t>
      </w:r>
      <w:r>
        <w:tab/>
        <w:t>Other measures</w:t>
      </w:r>
    </w:p>
    <w:p w14:paraId="6461345C" w14:textId="77777777" w:rsidR="00170BD0" w:rsidRPr="0060091E" w:rsidRDefault="00170BD0" w:rsidP="00170BD0">
      <w:pPr>
        <w:spacing w:after="240"/>
      </w:pPr>
      <w:r w:rsidRPr="008D4985">
        <w:t xml:space="preserve">There are no other measures (whether available to </w:t>
      </w:r>
      <w:r w:rsidRPr="0060091E">
        <w:t xml:space="preserve">FSANZ or not) that would be more cost-effective than </w:t>
      </w:r>
      <w:r>
        <w:t xml:space="preserve">a food regulatory measure developed or varied </w:t>
      </w:r>
      <w:r w:rsidRPr="0060091E">
        <w:t xml:space="preserve">as a result of </w:t>
      </w:r>
      <w:r>
        <w:t>the application.</w:t>
      </w:r>
      <w:r w:rsidRPr="0060091E">
        <w:t xml:space="preserve"> </w:t>
      </w:r>
    </w:p>
    <w:p w14:paraId="00229341" w14:textId="77777777" w:rsidR="00170BD0" w:rsidRPr="0060091E" w:rsidRDefault="00170BD0" w:rsidP="00170BD0">
      <w:pPr>
        <w:pStyle w:val="Heading4"/>
      </w:pPr>
      <w:r>
        <w:t>5.1.2.1</w:t>
      </w:r>
      <w:r w:rsidRPr="0060091E">
        <w:tab/>
        <w:t>Any relevant New Zealand standards</w:t>
      </w:r>
    </w:p>
    <w:p w14:paraId="4977D252" w14:textId="77777777" w:rsidR="00170BD0" w:rsidRPr="0060091E" w:rsidRDefault="00170BD0" w:rsidP="00170BD0">
      <w:pPr>
        <w:spacing w:after="240"/>
        <w:rPr>
          <w:lang w:bidi="ar-SA"/>
        </w:rPr>
      </w:pPr>
      <w:r>
        <w:rPr>
          <w:lang w:bidi="ar-SA"/>
        </w:rPr>
        <w:t xml:space="preserve">Relevant standards apply </w:t>
      </w:r>
      <w:r w:rsidRPr="0060091E">
        <w:rPr>
          <w:lang w:bidi="ar-SA"/>
        </w:rPr>
        <w:t>in both Australia and New Zealand. There are no relevant New Zealand only Standards.</w:t>
      </w:r>
    </w:p>
    <w:p w14:paraId="14CC65FD" w14:textId="77777777" w:rsidR="00170BD0" w:rsidRPr="0060091E" w:rsidRDefault="00170BD0" w:rsidP="00170BD0">
      <w:pPr>
        <w:pStyle w:val="Heading4"/>
      </w:pPr>
      <w:r>
        <w:t>5.1.2.2</w:t>
      </w:r>
      <w:r w:rsidRPr="0060091E">
        <w:tab/>
        <w:t>Any other relevant matters</w:t>
      </w:r>
    </w:p>
    <w:p w14:paraId="007166BE" w14:textId="77777777" w:rsidR="00170BD0" w:rsidRPr="0060091E" w:rsidRDefault="00170BD0" w:rsidP="00170BD0">
      <w:pPr>
        <w:spacing w:after="240"/>
      </w:pPr>
      <w:r>
        <w:t>Other relevant matters are considered below.</w:t>
      </w:r>
    </w:p>
    <w:p w14:paraId="197F339C" w14:textId="77777777" w:rsidR="00170BD0" w:rsidRPr="00914030" w:rsidRDefault="00170BD0" w:rsidP="00170BD0">
      <w:pPr>
        <w:pStyle w:val="Heading2"/>
      </w:pPr>
      <w:bookmarkStart w:id="123" w:name="_Toc89242793"/>
      <w:bookmarkStart w:id="124" w:name="_Toc100402962"/>
      <w:r>
        <w:t>5.2</w:t>
      </w:r>
      <w:r w:rsidRPr="00914030">
        <w:tab/>
      </w:r>
      <w:r>
        <w:t>Subsection 18(1)</w:t>
      </w:r>
      <w:bookmarkEnd w:id="123"/>
      <w:bookmarkEnd w:id="124"/>
      <w:r>
        <w:t xml:space="preserve"> </w:t>
      </w:r>
    </w:p>
    <w:p w14:paraId="3FEB9E12" w14:textId="77777777" w:rsidR="00170BD0" w:rsidRPr="00914030" w:rsidRDefault="00170BD0" w:rsidP="00170BD0">
      <w:r w:rsidRPr="00914030">
        <w:rPr>
          <w:rFonts w:cs="Arial"/>
        </w:rPr>
        <w:t xml:space="preserve">FSANZ has also </w:t>
      </w:r>
      <w:r w:rsidRPr="00914030">
        <w:t xml:space="preserve">considered the three objectives in subsection 18(1) of the </w:t>
      </w:r>
      <w:r>
        <w:t>FSANZ Act during the assessment.</w:t>
      </w:r>
    </w:p>
    <w:p w14:paraId="4D1BF8EF" w14:textId="77777777" w:rsidR="00170BD0" w:rsidRPr="00914030" w:rsidRDefault="00170BD0" w:rsidP="00170BD0">
      <w:pPr>
        <w:pStyle w:val="Heading3"/>
      </w:pPr>
      <w:r>
        <w:lastRenderedPageBreak/>
        <w:t>5.2.1</w:t>
      </w:r>
      <w:r>
        <w:tab/>
      </w:r>
      <w:r w:rsidRPr="00914030">
        <w:t>Protection of public health and safety</w:t>
      </w:r>
    </w:p>
    <w:p w14:paraId="4529C9A2" w14:textId="77777777" w:rsidR="00170BD0" w:rsidRPr="00D273F0" w:rsidRDefault="00170BD0" w:rsidP="00170BD0">
      <w:pPr>
        <w:widowControl/>
      </w:pPr>
      <w:r w:rsidRPr="00D273F0">
        <w:t xml:space="preserve">FSANZ completed a safety and risk assessment (SD1) which is summarised in </w:t>
      </w:r>
      <w:r w:rsidRPr="00AE7EA4">
        <w:t>section 2</w:t>
      </w:r>
      <w:r w:rsidRPr="00D273F0">
        <w:t xml:space="preserve"> of this report. </w:t>
      </w:r>
      <w:r>
        <w:t>Previous</w:t>
      </w:r>
      <w:r w:rsidRPr="003115BD">
        <w:t xml:space="preserve"> assessment</w:t>
      </w:r>
      <w:r>
        <w:t>s</w:t>
      </w:r>
      <w:r w:rsidRPr="003115BD">
        <w:t xml:space="preserve"> </w:t>
      </w:r>
      <w:r>
        <w:t>found</w:t>
      </w:r>
      <w:r w:rsidRPr="003115BD">
        <w:t xml:space="preserve"> no safety concerns associated with the addition of 2′-FL to </w:t>
      </w:r>
      <w:r>
        <w:t xml:space="preserve">IFP. New </w:t>
      </w:r>
      <w:r w:rsidRPr="003115BD">
        <w:t xml:space="preserve">information </w:t>
      </w:r>
      <w:r>
        <w:t>provided</w:t>
      </w:r>
      <w:r w:rsidRPr="003115BD">
        <w:t xml:space="preserve"> did not change this conclusion.</w:t>
      </w:r>
    </w:p>
    <w:p w14:paraId="6F291966" w14:textId="77777777" w:rsidR="00170BD0" w:rsidRPr="0060091E" w:rsidRDefault="00170BD0" w:rsidP="00170BD0">
      <w:pPr>
        <w:pStyle w:val="Heading3"/>
      </w:pPr>
      <w:r>
        <w:t>5.2.2</w:t>
      </w:r>
      <w:r>
        <w:tab/>
      </w:r>
      <w:r w:rsidRPr="0060091E">
        <w:t>The provision of adequate information relating to food to enable consumers to make informed choices</w:t>
      </w:r>
    </w:p>
    <w:p w14:paraId="16C05E2F" w14:textId="504DE82E" w:rsidR="00170BD0" w:rsidRPr="0060091E" w:rsidRDefault="00170BD0" w:rsidP="00170BD0">
      <w:r>
        <w:t xml:space="preserve">Current labelling requirements discussed in </w:t>
      </w:r>
      <w:r w:rsidRPr="00AA6082">
        <w:t>section 3.</w:t>
      </w:r>
      <w:r w:rsidR="00623E62">
        <w:t>5</w:t>
      </w:r>
      <w:r w:rsidRPr="00AA6082">
        <w:t xml:space="preserve"> w</w:t>
      </w:r>
      <w:r w:rsidR="000D4F04">
        <w:t>ill</w:t>
      </w:r>
      <w:r>
        <w:t xml:space="preserve"> apply to the </w:t>
      </w:r>
      <w:r w:rsidRPr="000C48F8">
        <w:t xml:space="preserve">2′-FL </w:t>
      </w:r>
      <w:r w:rsidR="0041383D">
        <w:t>derived from</w:t>
      </w:r>
      <w:r w:rsidR="0041383D" w:rsidRPr="000C48F8">
        <w:t xml:space="preserve"> </w:t>
      </w:r>
      <w:r w:rsidR="00057C19">
        <w:t>the production strain</w:t>
      </w:r>
      <w:r>
        <w:t xml:space="preserve"> when added to IFP and w</w:t>
      </w:r>
      <w:r w:rsidR="0011483A">
        <w:t>ill</w:t>
      </w:r>
      <w:r>
        <w:t xml:space="preserve"> provide information to enable consumers to make an informed choice.</w:t>
      </w:r>
    </w:p>
    <w:p w14:paraId="6CE9FBED" w14:textId="77777777" w:rsidR="00170BD0" w:rsidRPr="00914030" w:rsidRDefault="00170BD0" w:rsidP="00170BD0">
      <w:pPr>
        <w:pStyle w:val="Heading3"/>
      </w:pPr>
      <w:r>
        <w:t>5.2.3</w:t>
      </w:r>
      <w:r w:rsidRPr="0060091E">
        <w:tab/>
        <w:t>The prevention of misleading</w:t>
      </w:r>
      <w:r w:rsidRPr="00914030">
        <w:t xml:space="preserve"> or deceptive conduct</w:t>
      </w:r>
    </w:p>
    <w:p w14:paraId="67729E8B" w14:textId="1C358A6A" w:rsidR="00170BD0" w:rsidRPr="00D273F0" w:rsidRDefault="00170BD0" w:rsidP="00170BD0">
      <w:pPr>
        <w:widowControl/>
        <w:rPr>
          <w:rFonts w:cs="Arial"/>
          <w:szCs w:val="22"/>
        </w:rPr>
      </w:pPr>
      <w:r w:rsidRPr="00D273F0">
        <w:rPr>
          <w:rFonts w:cs="Arial"/>
          <w:szCs w:val="22"/>
        </w:rPr>
        <w:t xml:space="preserve">Current labelling requirements, including prohibited representations described in </w:t>
      </w:r>
      <w:r w:rsidRPr="00AA6082">
        <w:rPr>
          <w:rFonts w:cs="Arial"/>
          <w:szCs w:val="22"/>
        </w:rPr>
        <w:t>section 3.</w:t>
      </w:r>
      <w:r w:rsidR="00623E62">
        <w:rPr>
          <w:rFonts w:cs="Arial"/>
          <w:szCs w:val="22"/>
        </w:rPr>
        <w:t>5</w:t>
      </w:r>
      <w:r w:rsidRPr="00AA6082">
        <w:rPr>
          <w:rFonts w:cs="Arial"/>
          <w:szCs w:val="22"/>
        </w:rPr>
        <w:t>.3, which aim to prevent misleading or deceptive conduct, w</w:t>
      </w:r>
      <w:r w:rsidR="000D4F04">
        <w:rPr>
          <w:rFonts w:cs="Arial"/>
          <w:szCs w:val="22"/>
        </w:rPr>
        <w:t>ill</w:t>
      </w:r>
      <w:r w:rsidRPr="00AA6082">
        <w:rPr>
          <w:rFonts w:cs="Arial"/>
          <w:szCs w:val="22"/>
        </w:rPr>
        <w:t xml:space="preserve"> apply to the </w:t>
      </w:r>
      <w:r w:rsidRPr="000C48F8">
        <w:rPr>
          <w:rFonts w:cs="Arial"/>
          <w:szCs w:val="22"/>
        </w:rPr>
        <w:t xml:space="preserve">2′-FL </w:t>
      </w:r>
      <w:r w:rsidR="0041383D">
        <w:rPr>
          <w:rFonts w:cs="Arial"/>
          <w:szCs w:val="22"/>
        </w:rPr>
        <w:t>derived from</w:t>
      </w:r>
      <w:r w:rsidR="0041383D" w:rsidRPr="000C48F8">
        <w:rPr>
          <w:rFonts w:cs="Arial"/>
          <w:szCs w:val="22"/>
        </w:rPr>
        <w:t xml:space="preserve"> </w:t>
      </w:r>
      <w:r w:rsidR="00057C19" w:rsidRPr="002F37D6">
        <w:rPr>
          <w:rFonts w:cs="Arial"/>
          <w:szCs w:val="22"/>
        </w:rPr>
        <w:t>the production strain</w:t>
      </w:r>
      <w:r w:rsidRPr="00D273F0">
        <w:t xml:space="preserve"> when added</w:t>
      </w:r>
      <w:r w:rsidRPr="00D273F0">
        <w:rPr>
          <w:rFonts w:cs="Arial"/>
          <w:szCs w:val="22"/>
        </w:rPr>
        <w:t xml:space="preserve"> to </w:t>
      </w:r>
      <w:r>
        <w:t>IFP</w:t>
      </w:r>
      <w:r w:rsidRPr="00D273F0">
        <w:rPr>
          <w:rFonts w:cs="Arial"/>
          <w:szCs w:val="22"/>
        </w:rPr>
        <w:t>.</w:t>
      </w:r>
    </w:p>
    <w:p w14:paraId="3339269E" w14:textId="77777777" w:rsidR="00170BD0" w:rsidRPr="00914030" w:rsidRDefault="00170BD0" w:rsidP="00170BD0">
      <w:pPr>
        <w:pStyle w:val="Heading2"/>
      </w:pPr>
      <w:bookmarkStart w:id="125" w:name="_Toc89242794"/>
      <w:bookmarkStart w:id="126" w:name="_Toc100402963"/>
      <w:r>
        <w:t>5.3</w:t>
      </w:r>
      <w:r>
        <w:tab/>
      </w:r>
      <w:r w:rsidRPr="00914030">
        <w:t>Subsection 18(2) considerations</w:t>
      </w:r>
      <w:bookmarkEnd w:id="125"/>
      <w:bookmarkEnd w:id="126"/>
    </w:p>
    <w:p w14:paraId="328B595C" w14:textId="77777777" w:rsidR="00170BD0" w:rsidRPr="00914030" w:rsidRDefault="00170BD0" w:rsidP="00170BD0">
      <w:pPr>
        <w:rPr>
          <w:rFonts w:cs="Arial"/>
        </w:rPr>
      </w:pPr>
      <w:r w:rsidRPr="00914030">
        <w:rPr>
          <w:rFonts w:cs="Arial"/>
        </w:rPr>
        <w:t>FSANZ has also had regard to:</w:t>
      </w:r>
    </w:p>
    <w:p w14:paraId="26EFEFB9" w14:textId="77777777" w:rsidR="00170BD0" w:rsidRDefault="00170BD0" w:rsidP="008E6FE4">
      <w:pPr>
        <w:pStyle w:val="FSBullet1"/>
        <w:numPr>
          <w:ilvl w:val="0"/>
          <w:numId w:val="5"/>
        </w:numPr>
        <w:spacing w:after="240"/>
        <w:ind w:left="567" w:hanging="567"/>
        <w:rPr>
          <w:b/>
        </w:rPr>
      </w:pPr>
      <w:r w:rsidRPr="008828D9">
        <w:rPr>
          <w:b/>
        </w:rPr>
        <w:t>the need for standards to be based on risk analysis using the best available scientific evidence</w:t>
      </w:r>
    </w:p>
    <w:p w14:paraId="5DCC42C1" w14:textId="6F7F3F84" w:rsidR="00170BD0" w:rsidRPr="00AA6082" w:rsidRDefault="00170BD0" w:rsidP="00170BD0">
      <w:pPr>
        <w:spacing w:before="240" w:after="240"/>
      </w:pPr>
      <w:r w:rsidRPr="00B224B6">
        <w:t>FSANZ used the risk analysis framework and considered the best available evidence to reach its conclusion</w:t>
      </w:r>
      <w:r>
        <w:t xml:space="preserve">s on the safety, technical and beneficial health outcomes of the </w:t>
      </w:r>
      <w:r w:rsidRPr="000C48F8">
        <w:t xml:space="preserve">2′-FL </w:t>
      </w:r>
      <w:r w:rsidR="0041383D">
        <w:t>derived from</w:t>
      </w:r>
      <w:r w:rsidRPr="000C48F8">
        <w:t xml:space="preserve"> </w:t>
      </w:r>
      <w:r w:rsidR="00057C19">
        <w:t>t</w:t>
      </w:r>
      <w:r w:rsidR="00057C19" w:rsidRPr="002F37D6">
        <w:t>he production strain</w:t>
      </w:r>
      <w:r>
        <w:t>.</w:t>
      </w:r>
    </w:p>
    <w:p w14:paraId="0029C8F3" w14:textId="77777777" w:rsidR="00170BD0" w:rsidRDefault="00170BD0" w:rsidP="008E6FE4">
      <w:pPr>
        <w:pStyle w:val="FSBullet1"/>
        <w:numPr>
          <w:ilvl w:val="0"/>
          <w:numId w:val="5"/>
        </w:numPr>
        <w:spacing w:after="240"/>
        <w:ind w:left="567" w:hanging="567"/>
        <w:rPr>
          <w:b/>
        </w:rPr>
      </w:pPr>
      <w:r w:rsidRPr="0060091E">
        <w:rPr>
          <w:b/>
        </w:rPr>
        <w:t>the promotion of consistency between domestic and international food standards</w:t>
      </w:r>
    </w:p>
    <w:p w14:paraId="5E0EB5CB" w14:textId="58B4C99E" w:rsidR="00170BD0" w:rsidRDefault="00170BD0" w:rsidP="00170BD0">
      <w:r w:rsidRPr="007313CD">
        <w:t>FSANZ considered the promotion of consistency between domestic and international food standards and the desirability of an efficient and internatio</w:t>
      </w:r>
      <w:r>
        <w:t>nally competitive food industry. 2′-FL</w:t>
      </w:r>
      <w:r w:rsidRPr="00B224B6">
        <w:t xml:space="preserve"> </w:t>
      </w:r>
      <w:r>
        <w:t>is</w:t>
      </w:r>
      <w:r w:rsidRPr="00B224B6">
        <w:t xml:space="preserve"> permitted </w:t>
      </w:r>
      <w:r>
        <w:t xml:space="preserve">in IFP equivalent products; and several other foods across various countries around the world. Permissions are for </w:t>
      </w:r>
      <w:r w:rsidRPr="00B224B6">
        <w:t>use</w:t>
      </w:r>
      <w:r>
        <w:t xml:space="preserve"> alone or in combination with LNnT; including at a range of levels and with country-specific labelling requirements.</w:t>
      </w:r>
    </w:p>
    <w:p w14:paraId="13F21E0B" w14:textId="791B299C" w:rsidR="00816033" w:rsidRDefault="00005102" w:rsidP="00816033">
      <w:r>
        <w:t xml:space="preserve">FSANZ considers both </w:t>
      </w:r>
      <w:r w:rsidRPr="00E72505">
        <w:t xml:space="preserve">2′-FL </w:t>
      </w:r>
      <w:r>
        <w:t xml:space="preserve">products from host organism </w:t>
      </w:r>
      <w:r>
        <w:rPr>
          <w:i/>
        </w:rPr>
        <w:t xml:space="preserve">E. coli </w:t>
      </w:r>
      <w:r>
        <w:t xml:space="preserve">K-12 (i.e. from gene-donor </w:t>
      </w:r>
      <w:r w:rsidRPr="00005102">
        <w:rPr>
          <w:i/>
        </w:rPr>
        <w:t>Bacteroides vulgatus</w:t>
      </w:r>
      <w:r w:rsidRPr="00EA0F56">
        <w:t xml:space="preserve">; or </w:t>
      </w:r>
      <w:r w:rsidRPr="00005102">
        <w:rPr>
          <w:i/>
        </w:rPr>
        <w:t>Helicobacter pylori</w:t>
      </w:r>
      <w:r>
        <w:rPr>
          <w:i/>
        </w:rPr>
        <w:t xml:space="preserve">) </w:t>
      </w:r>
      <w:r>
        <w:t xml:space="preserve">can meet </w:t>
      </w:r>
      <w:r w:rsidR="0094343F">
        <w:t xml:space="preserve">the </w:t>
      </w:r>
      <w:r>
        <w:t>single specification</w:t>
      </w:r>
      <w:r w:rsidR="0094343F">
        <w:t xml:space="preserve"> set out in the approved draft variation</w:t>
      </w:r>
      <w:r>
        <w:t xml:space="preserve">. </w:t>
      </w:r>
      <w:r w:rsidR="0094343F">
        <w:t xml:space="preserve">This specification </w:t>
      </w:r>
      <w:r>
        <w:t>will provide greater clarity in the Code and harmonises (to an extent that is appropriate in having regard to the FSANZ Act) with the EU specification (2019).</w:t>
      </w:r>
    </w:p>
    <w:p w14:paraId="75610A54" w14:textId="7E5B69AD" w:rsidR="00170BD0" w:rsidRPr="00DA69BD" w:rsidRDefault="00170BD0" w:rsidP="00816033">
      <w:pPr>
        <w:pStyle w:val="FSBullet1"/>
        <w:numPr>
          <w:ilvl w:val="0"/>
          <w:numId w:val="5"/>
        </w:numPr>
        <w:spacing w:before="240" w:beforeAutospacing="0"/>
        <w:ind w:left="567" w:hanging="567"/>
        <w:rPr>
          <w:b/>
        </w:rPr>
      </w:pPr>
      <w:r w:rsidRPr="00DA69BD">
        <w:rPr>
          <w:b/>
        </w:rPr>
        <w:t>the desirability of an efficient and internationally competitive food industry</w:t>
      </w:r>
    </w:p>
    <w:p w14:paraId="26D64216" w14:textId="77777777" w:rsidR="00170BD0" w:rsidRPr="00D273F0" w:rsidRDefault="00170BD0" w:rsidP="00170BD0">
      <w:pPr>
        <w:spacing w:after="240"/>
      </w:pPr>
      <w:r w:rsidRPr="00D273F0">
        <w:t xml:space="preserve">The proposed permission would support an internationally competitive food industry in relation to the addition of 2′-FL to </w:t>
      </w:r>
      <w:r>
        <w:t>IFP</w:t>
      </w:r>
      <w:r w:rsidRPr="00D273F0">
        <w:t xml:space="preserve">, and is consistent with existing permissions in the Code for 2′-FL. </w:t>
      </w:r>
    </w:p>
    <w:p w14:paraId="04B20C5B" w14:textId="77777777" w:rsidR="00170BD0" w:rsidRPr="007922A1" w:rsidRDefault="00170BD0" w:rsidP="008E6FE4">
      <w:pPr>
        <w:pStyle w:val="FSBullet1"/>
        <w:numPr>
          <w:ilvl w:val="0"/>
          <w:numId w:val="5"/>
        </w:numPr>
        <w:ind w:left="567" w:hanging="567"/>
        <w:rPr>
          <w:b/>
        </w:rPr>
      </w:pPr>
      <w:r w:rsidRPr="007922A1">
        <w:rPr>
          <w:b/>
        </w:rPr>
        <w:t>the promotion of fair trading in food</w:t>
      </w:r>
    </w:p>
    <w:p w14:paraId="3D90A1AD" w14:textId="77777777" w:rsidR="00170BD0" w:rsidRPr="00C24193" w:rsidRDefault="00170BD0" w:rsidP="00170BD0">
      <w:r w:rsidRPr="00C24193">
        <w:lastRenderedPageBreak/>
        <w:t xml:space="preserve">No issues were identified for this </w:t>
      </w:r>
      <w:r>
        <w:t>application</w:t>
      </w:r>
      <w:r w:rsidRPr="00C24193">
        <w:t xml:space="preserve"> relevant to this objective.</w:t>
      </w:r>
    </w:p>
    <w:p w14:paraId="70974089" w14:textId="77777777" w:rsidR="00170BD0" w:rsidRPr="007922A1" w:rsidRDefault="00170BD0" w:rsidP="008E6FE4">
      <w:pPr>
        <w:pStyle w:val="FSBullet1"/>
        <w:numPr>
          <w:ilvl w:val="0"/>
          <w:numId w:val="5"/>
        </w:numPr>
        <w:ind w:left="567" w:hanging="567"/>
        <w:rPr>
          <w:b/>
        </w:rPr>
      </w:pPr>
      <w:r w:rsidRPr="007922A1">
        <w:rPr>
          <w:b/>
        </w:rPr>
        <w:t>any written policy guidelines formulated by the Food Ministers’ Meeting</w:t>
      </w:r>
      <w:r w:rsidRPr="00053AF0">
        <w:rPr>
          <w:rStyle w:val="FootnoteReference"/>
        </w:rPr>
        <w:footnoteReference w:id="8"/>
      </w:r>
    </w:p>
    <w:p w14:paraId="7593CE0A" w14:textId="77777777" w:rsidR="00170BD0" w:rsidRDefault="00170BD0" w:rsidP="00170BD0">
      <w:pPr>
        <w:widowControl/>
      </w:pPr>
      <w:r w:rsidRPr="00AE7EA4">
        <w:t xml:space="preserve">As part of A1233, FSANZ has </w:t>
      </w:r>
      <w:r w:rsidRPr="00AE7EA4">
        <w:rPr>
          <w:szCs w:val="22"/>
        </w:rPr>
        <w:t xml:space="preserve">had regard to both high order and specific policy principles in the </w:t>
      </w:r>
      <w:r>
        <w:rPr>
          <w:szCs w:val="22"/>
        </w:rPr>
        <w:t xml:space="preserve">following </w:t>
      </w:r>
      <w:r w:rsidRPr="00AE7EA4">
        <w:rPr>
          <w:szCs w:val="22"/>
        </w:rPr>
        <w:t>Ministerial Policy</w:t>
      </w:r>
      <w:r w:rsidRPr="00D273F0">
        <w:rPr>
          <w:szCs w:val="22"/>
        </w:rPr>
        <w:t xml:space="preserve"> Guideline</w:t>
      </w:r>
      <w:r>
        <w:rPr>
          <w:szCs w:val="22"/>
        </w:rPr>
        <w:t xml:space="preserve">s for the </w:t>
      </w:r>
      <w:r w:rsidRPr="00D273F0">
        <w:t>Regulation of Infant Formula Products</w:t>
      </w:r>
      <w:r>
        <w:t xml:space="preserve">. </w:t>
      </w:r>
    </w:p>
    <w:p w14:paraId="425442A7" w14:textId="77777777" w:rsidR="00170BD0" w:rsidRDefault="00170BD0" w:rsidP="008E6FE4">
      <w:pPr>
        <w:pStyle w:val="ListParagraph"/>
        <w:widowControl/>
        <w:numPr>
          <w:ilvl w:val="0"/>
          <w:numId w:val="7"/>
        </w:numPr>
        <w:spacing w:before="120" w:beforeAutospacing="0" w:after="120" w:afterAutospacing="0"/>
        <w:ind w:left="714" w:hanging="357"/>
        <w:contextualSpacing w:val="0"/>
      </w:pPr>
      <w:r w:rsidRPr="00B10359">
        <w:t>Regulation of Infant Formula Products</w:t>
      </w:r>
      <w:r>
        <w:t xml:space="preserve"> </w:t>
      </w:r>
    </w:p>
    <w:p w14:paraId="358DE599" w14:textId="77777777" w:rsidR="00170BD0" w:rsidRDefault="00170BD0" w:rsidP="008E6FE4">
      <w:pPr>
        <w:pStyle w:val="ListParagraph"/>
        <w:widowControl/>
        <w:numPr>
          <w:ilvl w:val="0"/>
          <w:numId w:val="7"/>
        </w:numPr>
        <w:spacing w:before="120" w:beforeAutospacing="0" w:after="120" w:afterAutospacing="0"/>
        <w:ind w:left="714" w:hanging="357"/>
        <w:contextualSpacing w:val="0"/>
      </w:pPr>
      <w:r w:rsidRPr="00B10359">
        <w:t xml:space="preserve">Intent of Part 2.9 </w:t>
      </w:r>
      <w:r>
        <w:t xml:space="preserve">of the Food Standards Code </w:t>
      </w:r>
      <w:r w:rsidRPr="00B10359">
        <w:t>– Special Purpose Foods</w:t>
      </w:r>
    </w:p>
    <w:p w14:paraId="1FADEBC3" w14:textId="77777777" w:rsidR="00170BD0" w:rsidRDefault="00170BD0" w:rsidP="00170BD0">
      <w:pPr>
        <w:widowControl/>
        <w:rPr>
          <w:lang w:bidi="ar-SA"/>
        </w:rPr>
      </w:pPr>
      <w:r w:rsidRPr="00D273F0">
        <w:rPr>
          <w:lang w:bidi="ar-SA"/>
        </w:rPr>
        <w:t xml:space="preserve">FSANZ considers that through the proposed permission for </w:t>
      </w:r>
      <w:r w:rsidRPr="00D273F0">
        <w:t>2′-FL</w:t>
      </w:r>
      <w:r w:rsidRPr="00D273F0">
        <w:rPr>
          <w:lang w:bidi="ar-SA"/>
        </w:rPr>
        <w:t xml:space="preserve"> to be added to </w:t>
      </w:r>
      <w:r>
        <w:rPr>
          <w:lang w:bidi="ar-SA"/>
        </w:rPr>
        <w:t>Infant Formula Products</w:t>
      </w:r>
      <w:r w:rsidRPr="00D273F0">
        <w:rPr>
          <w:lang w:bidi="ar-SA"/>
        </w:rPr>
        <w:t>, policy guideline</w:t>
      </w:r>
      <w:r>
        <w:rPr>
          <w:lang w:bidi="ar-SA"/>
        </w:rPr>
        <w:t>s have</w:t>
      </w:r>
      <w:r w:rsidRPr="00D273F0">
        <w:rPr>
          <w:lang w:bidi="ar-SA"/>
        </w:rPr>
        <w:t xml:space="preserve"> been met.</w:t>
      </w:r>
    </w:p>
    <w:p w14:paraId="67FE7B97" w14:textId="55C76CA3" w:rsidR="00A7422F" w:rsidRDefault="0094343F" w:rsidP="00510B7A">
      <w:pPr>
        <w:pStyle w:val="Heading1"/>
        <w:widowControl/>
        <w:spacing w:before="120" w:after="120"/>
      </w:pPr>
      <w:bookmarkStart w:id="127" w:name="_Toc300933452"/>
      <w:bookmarkStart w:id="128" w:name="_Toc73104847"/>
      <w:bookmarkStart w:id="129" w:name="_Toc77338796"/>
      <w:bookmarkStart w:id="130" w:name="_Toc100402964"/>
      <w:bookmarkStart w:id="131" w:name="_Toc11735643"/>
      <w:bookmarkStart w:id="132" w:name="_Toc29883130"/>
      <w:bookmarkStart w:id="133" w:name="_Toc41906817"/>
      <w:bookmarkStart w:id="134" w:name="_Toc41907564"/>
      <w:bookmarkStart w:id="135" w:name="_Toc43112360"/>
      <w:bookmarkEnd w:id="118"/>
      <w:bookmarkEnd w:id="121"/>
      <w:bookmarkEnd w:id="122"/>
      <w:r>
        <w:t>6</w:t>
      </w:r>
      <w:r w:rsidR="00A7422F" w:rsidRPr="00613231">
        <w:tab/>
        <w:t>R</w:t>
      </w:r>
      <w:bookmarkEnd w:id="127"/>
      <w:r w:rsidR="00A7422F" w:rsidRPr="00613231">
        <w:t>eferences</w:t>
      </w:r>
      <w:bookmarkEnd w:id="128"/>
      <w:bookmarkEnd w:id="129"/>
      <w:bookmarkEnd w:id="130"/>
    </w:p>
    <w:p w14:paraId="50CD3512" w14:textId="1E6C2B3B" w:rsidR="00170BD0" w:rsidRDefault="00170BD0" w:rsidP="00E0579A">
      <w:pPr>
        <w:spacing w:before="240"/>
      </w:pPr>
      <w:r>
        <w:t xml:space="preserve">ESFA 2015 </w:t>
      </w:r>
      <w:r w:rsidRPr="00DA69BD">
        <w:t>Safety of 2'-O-fucosyllactose as a novel food ingredient pursuant to Regulation (EC) No 258/97</w:t>
      </w:r>
      <w:r>
        <w:t xml:space="preserve"> </w:t>
      </w:r>
      <w:r w:rsidRPr="00DA69BD">
        <w:rPr>
          <w:i/>
        </w:rPr>
        <w:t>EFSA Journal</w:t>
      </w:r>
      <w:r w:rsidRPr="00DA69BD">
        <w:t xml:space="preserve"> </w:t>
      </w:r>
      <w:r>
        <w:t>13(7) 4184</w:t>
      </w:r>
      <w:r w:rsidR="001E12C0">
        <w:t>.</w:t>
      </w:r>
    </w:p>
    <w:p w14:paraId="557B8653" w14:textId="77777777" w:rsidR="001E12C0" w:rsidRDefault="001E12C0" w:rsidP="001E12C0">
      <w:pPr>
        <w:pStyle w:val="CitaviBibliographyEntry"/>
        <w:tabs>
          <w:tab w:val="clear" w:pos="397"/>
          <w:tab w:val="left" w:pos="0"/>
        </w:tabs>
        <w:ind w:left="0" w:firstLine="0"/>
      </w:pPr>
      <w:r>
        <w:t>European Union (2019) Commission Implementing Regulation (EU) 2019/388 of 11 March 2019 authorising the change of the specifications of the novel food 2′-fucosyllactose produced with Escherichia coli K-12 under Regulation (EU) 2015/2283 of the European Parliament and of the Council and amending Commission Implementing Regulation (EU) 2017/2470</w:t>
      </w:r>
    </w:p>
    <w:p w14:paraId="7EDCF032" w14:textId="77777777" w:rsidR="001E12C0" w:rsidRDefault="001C16A2" w:rsidP="001E12C0">
      <w:pPr>
        <w:pStyle w:val="CitaviBibliographyEntry"/>
        <w:tabs>
          <w:tab w:val="clear" w:pos="397"/>
          <w:tab w:val="left" w:pos="0"/>
        </w:tabs>
        <w:ind w:left="0" w:firstLine="0"/>
      </w:pPr>
      <w:hyperlink r:id="rId25" w:history="1">
        <w:r w:rsidR="001E12C0" w:rsidRPr="007B4D5E">
          <w:rPr>
            <w:rStyle w:val="Hyperlink"/>
          </w:rPr>
          <w:t>https://eur-lex.europa.eu/legal-content/EN/TXT/PDF/?uri=CELEX:32019R0388&amp;rid=8</w:t>
        </w:r>
      </w:hyperlink>
    </w:p>
    <w:p w14:paraId="6B79CA3B" w14:textId="77777777" w:rsidR="00170BD0" w:rsidRPr="00DA69BD" w:rsidRDefault="00170BD0" w:rsidP="00E0579A">
      <w:pPr>
        <w:spacing w:before="240"/>
        <w:rPr>
          <w:szCs w:val="22"/>
        </w:rPr>
      </w:pPr>
      <w:r w:rsidRPr="00DA69BD">
        <w:rPr>
          <w:szCs w:val="22"/>
        </w:rPr>
        <w:t>FSANZ (2008) Proposal P306, Final Assessment Report, Addition of Inulin/FOS &amp; GOS to Food. Food Standards Australia New Zealand.</w:t>
      </w:r>
    </w:p>
    <w:p w14:paraId="3A501958" w14:textId="77777777" w:rsidR="00170BD0" w:rsidRDefault="00170BD0" w:rsidP="00E0579A">
      <w:pPr>
        <w:spacing w:before="240"/>
        <w:rPr>
          <w:szCs w:val="22"/>
        </w:rPr>
      </w:pPr>
      <w:r w:rsidRPr="00DA69BD">
        <w:rPr>
          <w:szCs w:val="22"/>
        </w:rPr>
        <w:t>FSANZ (2013) Application A1055, Approval Report, Short Chain Fructo-oligosaccharides. Food Standards Australia New Zealand.</w:t>
      </w:r>
    </w:p>
    <w:p w14:paraId="0BFDE336" w14:textId="5B598A37" w:rsidR="00A7422F" w:rsidRPr="00E203C2" w:rsidRDefault="00870129" w:rsidP="000B512F">
      <w:pPr>
        <w:widowControl/>
      </w:pPr>
      <w:r>
        <w:rPr>
          <w:sz w:val="20"/>
          <w:szCs w:val="20"/>
        </w:rPr>
        <w:br w:type="page"/>
      </w:r>
      <w:r w:rsidR="00A7422F" w:rsidRPr="00924C80">
        <w:rPr>
          <w:b/>
          <w:sz w:val="28"/>
          <w:szCs w:val="28"/>
        </w:rPr>
        <w:lastRenderedPageBreak/>
        <w:t>A</w:t>
      </w:r>
      <w:r w:rsidR="00A7422F">
        <w:rPr>
          <w:b/>
          <w:sz w:val="28"/>
          <w:szCs w:val="28"/>
        </w:rPr>
        <w:t>ttachments</w:t>
      </w:r>
    </w:p>
    <w:p w14:paraId="2602464A" w14:textId="7CB6431F" w:rsidR="00A7422F" w:rsidRDefault="00A7422F" w:rsidP="00510B7A">
      <w:pPr>
        <w:widowControl/>
        <w:spacing w:before="120" w:after="120"/>
        <w:ind w:left="567" w:hanging="567"/>
      </w:pPr>
      <w:r>
        <w:t>A.</w:t>
      </w:r>
      <w:r>
        <w:tab/>
        <w:t xml:space="preserve">Approved </w:t>
      </w:r>
      <w:r w:rsidR="00C009A7">
        <w:t xml:space="preserve">draft </w:t>
      </w:r>
      <w:r>
        <w:t>variatio</w:t>
      </w:r>
      <w:r w:rsidRPr="00596FD1">
        <w:t>n</w:t>
      </w:r>
      <w:r>
        <w:t xml:space="preserve"> to the </w:t>
      </w:r>
      <w:r w:rsidRPr="00050FE3">
        <w:t>Australia New Zealand Food Standards Code</w:t>
      </w:r>
      <w:r>
        <w:t xml:space="preserve"> </w:t>
      </w:r>
    </w:p>
    <w:p w14:paraId="404F5D26" w14:textId="61E07C3A" w:rsidR="00A7422F" w:rsidRDefault="00A7422F" w:rsidP="00510B7A">
      <w:pPr>
        <w:widowControl/>
        <w:spacing w:before="120" w:after="120"/>
        <w:ind w:left="567" w:hanging="567"/>
      </w:pPr>
      <w:r w:rsidRPr="00456BD5">
        <w:t>B.</w:t>
      </w:r>
      <w:r w:rsidRPr="00456BD5">
        <w:tab/>
      </w:r>
      <w:r>
        <w:t xml:space="preserve">Explanatory Statement </w:t>
      </w:r>
    </w:p>
    <w:p w14:paraId="3FB55398" w14:textId="60F51189" w:rsidR="00A7422F" w:rsidRPr="00E203C2" w:rsidRDefault="00870129" w:rsidP="00870129">
      <w:pPr>
        <w:widowControl/>
        <w:spacing w:before="120" w:after="120"/>
        <w:ind w:left="567" w:hanging="567"/>
      </w:pPr>
      <w:r>
        <w:t>C.</w:t>
      </w:r>
      <w:r>
        <w:tab/>
      </w:r>
      <w:r w:rsidRPr="00870129">
        <w:t>Draft variation to the Australia New Zealand Food Standards Code (call for submissions)</w:t>
      </w:r>
    </w:p>
    <w:p w14:paraId="747BA9A6" w14:textId="77777777" w:rsidR="0094343F" w:rsidRPr="00B43642" w:rsidRDefault="00A7422F" w:rsidP="002526C2">
      <w:pPr>
        <w:pStyle w:val="Heading2"/>
        <w:spacing w:before="0" w:beforeAutospacing="0" w:after="0" w:afterAutospacing="0"/>
      </w:pPr>
      <w:r w:rsidRPr="00932F14">
        <w:br w:type="page"/>
      </w:r>
      <w:bookmarkStart w:id="136" w:name="_Toc100402965"/>
      <w:bookmarkStart w:id="137" w:name="_Toc415572039"/>
      <w:bookmarkEnd w:id="131"/>
      <w:bookmarkEnd w:id="132"/>
      <w:bookmarkEnd w:id="133"/>
      <w:bookmarkEnd w:id="134"/>
      <w:bookmarkEnd w:id="135"/>
      <w:r w:rsidRPr="00A7422F">
        <w:lastRenderedPageBreak/>
        <w:t>Attachmen</w:t>
      </w:r>
      <w:r>
        <w:t>t A – Approved draft variation</w:t>
      </w:r>
      <w:r w:rsidRPr="00A7422F">
        <w:t xml:space="preserve"> to the Australia New</w:t>
      </w:r>
      <w:bookmarkEnd w:id="136"/>
      <w:r w:rsidRPr="00A7422F">
        <w:t xml:space="preserve"> </w:t>
      </w:r>
    </w:p>
    <w:p w14:paraId="3A56A949" w14:textId="52EF3ADD" w:rsidR="0094343F" w:rsidRDefault="00357C18" w:rsidP="002526C2">
      <w:pPr>
        <w:pStyle w:val="Heading2"/>
        <w:spacing w:before="0" w:beforeAutospacing="0" w:after="0" w:afterAutospacing="0"/>
      </w:pPr>
      <w:bookmarkStart w:id="138" w:name="_Toc100402966"/>
      <w:r>
        <w:t xml:space="preserve">Zealand Food </w:t>
      </w:r>
      <w:r w:rsidR="0094343F" w:rsidRPr="00B43642">
        <w:t>Standards Code</w:t>
      </w:r>
      <w:bookmarkEnd w:id="138"/>
    </w:p>
    <w:p w14:paraId="29A9265E" w14:textId="77777777" w:rsidR="0094343F" w:rsidRPr="0036244B" w:rsidRDefault="0094343F" w:rsidP="002526C2">
      <w:pPr>
        <w:widowControl/>
        <w:spacing w:before="0" w:beforeAutospacing="0" w:after="0" w:afterAutospacing="0"/>
      </w:pPr>
    </w:p>
    <w:p w14:paraId="5931BD9D" w14:textId="77777777" w:rsidR="0094343F" w:rsidRPr="00C0014E" w:rsidRDefault="0094343F" w:rsidP="002526C2">
      <w:pPr>
        <w:spacing w:before="0" w:beforeAutospacing="0" w:after="0" w:afterAutospacing="0"/>
        <w:rPr>
          <w:noProof/>
          <w:sz w:val="20"/>
          <w:lang w:val="en-AU" w:eastAsia="en-AU"/>
        </w:rPr>
      </w:pPr>
      <w:r w:rsidRPr="00C0014E">
        <w:rPr>
          <w:noProof/>
          <w:sz w:val="20"/>
          <w:lang w:eastAsia="en-GB" w:bidi="ar-SA"/>
        </w:rPr>
        <w:drawing>
          <wp:inline distT="0" distB="0" distL="0" distR="0" wp14:anchorId="0FAC15CE" wp14:editId="57CD27C6">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6444053A" w14:textId="77777777" w:rsidR="0094343F" w:rsidRPr="006153A1" w:rsidRDefault="0094343F" w:rsidP="002526C2">
      <w:pPr>
        <w:pBdr>
          <w:bottom w:val="single" w:sz="4" w:space="1" w:color="auto"/>
        </w:pBdr>
        <w:spacing w:before="0" w:beforeAutospacing="0" w:after="0" w:afterAutospacing="0"/>
        <w:rPr>
          <w:b/>
          <w:bCs/>
        </w:rPr>
      </w:pPr>
    </w:p>
    <w:p w14:paraId="20897011" w14:textId="77777777" w:rsidR="0094343F" w:rsidRDefault="0094343F" w:rsidP="002526C2">
      <w:pPr>
        <w:pBdr>
          <w:bottom w:val="single" w:sz="4" w:space="1" w:color="auto"/>
        </w:pBdr>
        <w:spacing w:before="0" w:beforeAutospacing="0" w:after="0" w:afterAutospacing="0"/>
        <w:rPr>
          <w:b/>
          <w:sz w:val="20"/>
        </w:rPr>
      </w:pPr>
      <w:r w:rsidRPr="006153A1">
        <w:rPr>
          <w:b/>
          <w:sz w:val="20"/>
        </w:rPr>
        <w:t>Food Standards (</w:t>
      </w:r>
      <w:r w:rsidRPr="00F618DF">
        <w:rPr>
          <w:b/>
          <w:sz w:val="20"/>
        </w:rPr>
        <w:t>A</w:t>
      </w:r>
      <w:r>
        <w:rPr>
          <w:b/>
          <w:sz w:val="20"/>
        </w:rPr>
        <w:t>pplication</w:t>
      </w:r>
      <w:r w:rsidRPr="00F618DF">
        <w:rPr>
          <w:b/>
          <w:sz w:val="20"/>
        </w:rPr>
        <w:t xml:space="preserve"> A</w:t>
      </w:r>
      <w:r>
        <w:rPr>
          <w:b/>
          <w:sz w:val="20"/>
        </w:rPr>
        <w:t>1233</w:t>
      </w:r>
      <w:r w:rsidRPr="00F618DF">
        <w:rPr>
          <w:b/>
          <w:sz w:val="20"/>
        </w:rPr>
        <w:t xml:space="preserve"> </w:t>
      </w:r>
      <w:r w:rsidRPr="00A32232">
        <w:rPr>
          <w:b/>
          <w:sz w:val="20"/>
        </w:rPr>
        <w:t xml:space="preserve">– </w:t>
      </w:r>
      <w:r>
        <w:rPr>
          <w:b/>
          <w:sz w:val="20"/>
        </w:rPr>
        <w:t>2’-FL from a new GM source for infant formula)</w:t>
      </w:r>
      <w:r w:rsidRPr="00C0014E">
        <w:rPr>
          <w:b/>
          <w:sz w:val="20"/>
        </w:rPr>
        <w:t xml:space="preserve"> Variation</w:t>
      </w:r>
    </w:p>
    <w:p w14:paraId="539D0887" w14:textId="77777777" w:rsidR="0094343F" w:rsidRPr="00C0014E" w:rsidRDefault="0094343F" w:rsidP="002526C2">
      <w:pPr>
        <w:pBdr>
          <w:bottom w:val="single" w:sz="4" w:space="1" w:color="auto"/>
        </w:pBdr>
        <w:spacing w:before="0" w:beforeAutospacing="0" w:after="0" w:afterAutospacing="0"/>
        <w:rPr>
          <w:b/>
          <w:sz w:val="20"/>
        </w:rPr>
      </w:pPr>
    </w:p>
    <w:p w14:paraId="4A5D0067" w14:textId="77777777" w:rsidR="0094343F" w:rsidRPr="008F2616" w:rsidRDefault="0094343F" w:rsidP="002526C2">
      <w:pPr>
        <w:spacing w:before="0" w:beforeAutospacing="0" w:after="0" w:afterAutospacing="0"/>
        <w:rPr>
          <w:sz w:val="20"/>
        </w:rPr>
      </w:pPr>
    </w:p>
    <w:p w14:paraId="6CE555B1" w14:textId="77777777" w:rsidR="0094343F" w:rsidRPr="008F2616" w:rsidRDefault="0094343F" w:rsidP="002526C2">
      <w:pPr>
        <w:spacing w:before="0" w:beforeAutospacing="0" w:after="0" w:afterAutospacing="0"/>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3515652E" w14:textId="77777777" w:rsidR="0094343F" w:rsidRPr="008F2616" w:rsidRDefault="0094343F" w:rsidP="002526C2">
      <w:pPr>
        <w:spacing w:before="0" w:beforeAutospacing="0" w:after="0" w:afterAutospacing="0"/>
        <w:rPr>
          <w:sz w:val="20"/>
        </w:rPr>
      </w:pPr>
    </w:p>
    <w:p w14:paraId="10D7758C" w14:textId="77777777" w:rsidR="0094343F" w:rsidRPr="008F2616" w:rsidRDefault="0094343F" w:rsidP="002526C2">
      <w:pPr>
        <w:spacing w:before="0" w:beforeAutospacing="0" w:after="0" w:afterAutospacing="0"/>
        <w:rPr>
          <w:sz w:val="20"/>
        </w:rPr>
      </w:pPr>
      <w:r w:rsidRPr="008F2616">
        <w:rPr>
          <w:sz w:val="20"/>
        </w:rPr>
        <w:t xml:space="preserve">Dated </w:t>
      </w:r>
      <w:r>
        <w:rPr>
          <w:sz w:val="20"/>
        </w:rPr>
        <w:t>[To be completed by the Delegate]</w:t>
      </w:r>
    </w:p>
    <w:p w14:paraId="34C53B8D" w14:textId="77777777" w:rsidR="0094343F" w:rsidRPr="008F2616" w:rsidRDefault="0094343F" w:rsidP="002526C2">
      <w:pPr>
        <w:spacing w:before="0" w:beforeAutospacing="0" w:after="0" w:afterAutospacing="0"/>
        <w:rPr>
          <w:sz w:val="20"/>
        </w:rPr>
      </w:pPr>
    </w:p>
    <w:p w14:paraId="0D8A52D6" w14:textId="77777777" w:rsidR="0094343F" w:rsidRDefault="0094343F" w:rsidP="002526C2">
      <w:pPr>
        <w:spacing w:before="0" w:beforeAutospacing="0" w:after="0" w:afterAutospacing="0"/>
        <w:rPr>
          <w:sz w:val="20"/>
        </w:rPr>
      </w:pPr>
    </w:p>
    <w:p w14:paraId="0E98A194" w14:textId="77777777" w:rsidR="0094343F" w:rsidRDefault="0094343F" w:rsidP="002526C2">
      <w:pPr>
        <w:spacing w:before="0" w:beforeAutospacing="0" w:after="0" w:afterAutospacing="0"/>
        <w:rPr>
          <w:sz w:val="20"/>
        </w:rPr>
      </w:pPr>
    </w:p>
    <w:p w14:paraId="107B6955" w14:textId="77777777" w:rsidR="0094343F" w:rsidRPr="008F2616" w:rsidRDefault="0094343F" w:rsidP="002526C2">
      <w:pPr>
        <w:spacing w:before="0" w:beforeAutospacing="0" w:after="0" w:afterAutospacing="0"/>
        <w:rPr>
          <w:sz w:val="20"/>
        </w:rPr>
      </w:pPr>
    </w:p>
    <w:p w14:paraId="6984AF0E" w14:textId="77777777" w:rsidR="0094343F" w:rsidRPr="008F2616" w:rsidRDefault="0094343F" w:rsidP="002526C2">
      <w:pPr>
        <w:spacing w:before="0" w:beforeAutospacing="0" w:after="0" w:afterAutospacing="0"/>
        <w:rPr>
          <w:sz w:val="20"/>
        </w:rPr>
      </w:pPr>
    </w:p>
    <w:p w14:paraId="223C8960" w14:textId="77777777" w:rsidR="0094343F" w:rsidRPr="008F2616" w:rsidRDefault="0094343F" w:rsidP="002526C2">
      <w:pPr>
        <w:spacing w:before="0" w:beforeAutospacing="0" w:after="0" w:afterAutospacing="0"/>
        <w:rPr>
          <w:sz w:val="20"/>
        </w:rPr>
      </w:pPr>
      <w:r>
        <w:rPr>
          <w:sz w:val="20"/>
        </w:rPr>
        <w:t>[Delegate’s name and position]</w:t>
      </w:r>
    </w:p>
    <w:p w14:paraId="076EE0D3" w14:textId="77777777" w:rsidR="0094343F" w:rsidRPr="008F2616" w:rsidRDefault="0094343F" w:rsidP="002526C2">
      <w:pPr>
        <w:spacing w:before="0" w:beforeAutospacing="0" w:after="0" w:afterAutospacing="0"/>
        <w:rPr>
          <w:sz w:val="20"/>
        </w:rPr>
      </w:pPr>
      <w:r w:rsidRPr="008F2616">
        <w:rPr>
          <w:sz w:val="20"/>
        </w:rPr>
        <w:t>Delegate of the Board of Food Standards Australia New Zealand</w:t>
      </w:r>
    </w:p>
    <w:p w14:paraId="43B3B3ED" w14:textId="77777777" w:rsidR="0094343F" w:rsidRDefault="0094343F" w:rsidP="002526C2">
      <w:pPr>
        <w:spacing w:before="0" w:beforeAutospacing="0" w:after="0" w:afterAutospacing="0"/>
        <w:rPr>
          <w:sz w:val="20"/>
        </w:rPr>
      </w:pPr>
    </w:p>
    <w:p w14:paraId="600A6A8E" w14:textId="77777777" w:rsidR="0094343F" w:rsidRDefault="0094343F" w:rsidP="002526C2">
      <w:pPr>
        <w:spacing w:before="0" w:beforeAutospacing="0" w:after="0" w:afterAutospacing="0"/>
        <w:rPr>
          <w:sz w:val="20"/>
        </w:rPr>
      </w:pPr>
    </w:p>
    <w:p w14:paraId="0AA6B32A" w14:textId="77777777" w:rsidR="0094343F" w:rsidRDefault="0094343F" w:rsidP="002526C2">
      <w:pPr>
        <w:spacing w:before="0" w:beforeAutospacing="0" w:after="0" w:afterAutospacing="0"/>
        <w:rPr>
          <w:sz w:val="20"/>
        </w:rPr>
      </w:pPr>
    </w:p>
    <w:p w14:paraId="3834031D" w14:textId="77777777" w:rsidR="0094343F" w:rsidRDefault="0094343F" w:rsidP="002526C2">
      <w:pPr>
        <w:spacing w:before="0" w:beforeAutospacing="0" w:after="0" w:afterAutospacing="0"/>
        <w:rPr>
          <w:sz w:val="20"/>
        </w:rPr>
      </w:pPr>
    </w:p>
    <w:p w14:paraId="3E68337F" w14:textId="77777777" w:rsidR="0094343F" w:rsidRDefault="0094343F" w:rsidP="002526C2">
      <w:pPr>
        <w:spacing w:before="0" w:beforeAutospacing="0" w:after="0" w:afterAutospacing="0"/>
        <w:rPr>
          <w:sz w:val="20"/>
        </w:rPr>
      </w:pPr>
    </w:p>
    <w:p w14:paraId="3E8C5F4F" w14:textId="77777777" w:rsidR="0094343F" w:rsidRPr="00360C8F" w:rsidRDefault="0094343F" w:rsidP="002526C2">
      <w:pPr>
        <w:pBdr>
          <w:top w:val="single" w:sz="4" w:space="1" w:color="auto"/>
          <w:left w:val="single" w:sz="4" w:space="4" w:color="auto"/>
          <w:bottom w:val="single" w:sz="4" w:space="1" w:color="auto"/>
          <w:right w:val="single" w:sz="4" w:space="4" w:color="auto"/>
        </w:pBdr>
        <w:spacing w:before="0" w:beforeAutospacing="0" w:after="0" w:afterAutospacing="0"/>
        <w:rPr>
          <w:b/>
          <w:sz w:val="20"/>
          <w:lang w:val="en-AU"/>
        </w:rPr>
      </w:pPr>
      <w:r w:rsidRPr="00360C8F">
        <w:rPr>
          <w:b/>
          <w:sz w:val="20"/>
          <w:lang w:val="en-AU"/>
        </w:rPr>
        <w:t xml:space="preserve">Note:  </w:t>
      </w:r>
    </w:p>
    <w:p w14:paraId="2A31412D" w14:textId="77777777" w:rsidR="0094343F" w:rsidRPr="00360C8F" w:rsidRDefault="0094343F" w:rsidP="002526C2">
      <w:pPr>
        <w:pBdr>
          <w:top w:val="single" w:sz="4" w:space="1" w:color="auto"/>
          <w:left w:val="single" w:sz="4" w:space="4" w:color="auto"/>
          <w:bottom w:val="single" w:sz="4" w:space="1" w:color="auto"/>
          <w:right w:val="single" w:sz="4" w:space="4" w:color="auto"/>
        </w:pBdr>
        <w:spacing w:before="0" w:beforeAutospacing="0" w:after="0" w:afterAutospacing="0"/>
        <w:rPr>
          <w:sz w:val="20"/>
          <w:lang w:val="en-AU"/>
        </w:rPr>
      </w:pPr>
    </w:p>
    <w:p w14:paraId="3E9E2F45" w14:textId="77777777" w:rsidR="0094343F" w:rsidRPr="00360C8F" w:rsidRDefault="0094343F" w:rsidP="002526C2">
      <w:pPr>
        <w:pBdr>
          <w:top w:val="single" w:sz="4" w:space="1" w:color="auto"/>
          <w:left w:val="single" w:sz="4" w:space="4" w:color="auto"/>
          <w:bottom w:val="single" w:sz="4" w:space="1" w:color="auto"/>
          <w:right w:val="single" w:sz="4" w:space="4" w:color="auto"/>
        </w:pBdr>
        <w:spacing w:before="0" w:beforeAutospacing="0" w:after="0" w:afterAutospacing="0"/>
        <w:rPr>
          <w:sz w:val="20"/>
          <w:lang w:val="en-AU"/>
        </w:rPr>
      </w:pPr>
      <w:r w:rsidRPr="00360C8F">
        <w:rPr>
          <w:sz w:val="20"/>
          <w:lang w:val="en-AU"/>
        </w:rPr>
        <w:t xml:space="preserve">This variation will be published in the Commonwealth of Australia Gazette No. FSC </w:t>
      </w:r>
      <w:r w:rsidRPr="00360C8F">
        <w:rPr>
          <w:color w:val="FF0000"/>
          <w:sz w:val="20"/>
          <w:lang w:val="en-AU"/>
        </w:rPr>
        <w:t>XX on XX Month 20XX</w:t>
      </w:r>
      <w:r w:rsidRPr="00360C8F">
        <w:rPr>
          <w:sz w:val="20"/>
          <w:lang w:val="en-AU"/>
        </w:rPr>
        <w:t xml:space="preserve">. This means that this date is the gazettal date for the purposes of clause 3 of the variation. </w:t>
      </w:r>
    </w:p>
    <w:p w14:paraId="55882E53" w14:textId="77777777" w:rsidR="0094343F" w:rsidRDefault="0094343F" w:rsidP="009620D7">
      <w:pPr>
        <w:spacing w:before="0" w:beforeAutospacing="0" w:after="0" w:afterAutospacing="0"/>
        <w:rPr>
          <w:sz w:val="20"/>
        </w:rPr>
      </w:pPr>
    </w:p>
    <w:p w14:paraId="64661232" w14:textId="77777777" w:rsidR="0094343F" w:rsidRDefault="0094343F" w:rsidP="002526C2">
      <w:pPr>
        <w:widowControl/>
        <w:spacing w:before="0" w:beforeAutospacing="0" w:after="0" w:afterAutospacing="0"/>
        <w:rPr>
          <w:sz w:val="20"/>
        </w:rPr>
      </w:pPr>
      <w:r>
        <w:rPr>
          <w:sz w:val="20"/>
        </w:rPr>
        <w:br w:type="page"/>
      </w:r>
    </w:p>
    <w:p w14:paraId="3AD50585" w14:textId="77777777" w:rsidR="0094343F" w:rsidRPr="005F585D" w:rsidRDefault="0094343F" w:rsidP="009620D7">
      <w:pPr>
        <w:pStyle w:val="FSCDraftingitemheading"/>
        <w:spacing w:beforeAutospacing="0" w:afterAutospacing="0"/>
      </w:pPr>
      <w:r w:rsidRPr="00D433B1">
        <w:lastRenderedPageBreak/>
        <w:t>1</w:t>
      </w:r>
      <w:r w:rsidRPr="00D433B1">
        <w:tab/>
        <w:t>Name</w:t>
      </w:r>
    </w:p>
    <w:p w14:paraId="194194BD" w14:textId="77777777" w:rsidR="0094343F" w:rsidRPr="00F618DF" w:rsidRDefault="0094343F" w:rsidP="009620D7">
      <w:pPr>
        <w:pStyle w:val="FSCDraftingitem"/>
        <w:spacing w:beforeAutospacing="0" w:afterAutospacing="0"/>
      </w:pPr>
      <w:r w:rsidRPr="00DB170D">
        <w:t xml:space="preserve">This instrument is the </w:t>
      </w:r>
      <w:r w:rsidRPr="00792F7C">
        <w:rPr>
          <w:i/>
        </w:rPr>
        <w:t>Food Standards (Application A</w:t>
      </w:r>
      <w:r>
        <w:rPr>
          <w:i/>
        </w:rPr>
        <w:t>1233</w:t>
      </w:r>
      <w:r w:rsidRPr="00792F7C">
        <w:rPr>
          <w:i/>
        </w:rPr>
        <w:t xml:space="preserve"> – </w:t>
      </w:r>
      <w:r>
        <w:rPr>
          <w:i/>
        </w:rPr>
        <w:t>2’-FL from new GM source for infant formula</w:t>
      </w:r>
      <w:r w:rsidRPr="00792F7C">
        <w:rPr>
          <w:i/>
        </w:rPr>
        <w:t>) Variation</w:t>
      </w:r>
      <w:r w:rsidRPr="00F618DF">
        <w:t>.</w:t>
      </w:r>
    </w:p>
    <w:p w14:paraId="03F3CCD6" w14:textId="77777777" w:rsidR="0094343F" w:rsidRPr="00D433B1" w:rsidRDefault="0094343F" w:rsidP="009620D7">
      <w:pPr>
        <w:pStyle w:val="FSCDraftingitemheading"/>
        <w:spacing w:beforeAutospacing="0" w:afterAutospacing="0"/>
      </w:pPr>
      <w:r w:rsidRPr="00D433B1">
        <w:t>2</w:t>
      </w:r>
      <w:r w:rsidRPr="00D433B1">
        <w:tab/>
        <w:t xml:space="preserve">Variation to </w:t>
      </w:r>
      <w:r>
        <w:t>S</w:t>
      </w:r>
      <w:r w:rsidRPr="007A6D6C">
        <w:t>tandard</w:t>
      </w:r>
      <w:r>
        <w:t>s</w:t>
      </w:r>
      <w:r w:rsidRPr="007A6D6C">
        <w:t xml:space="preserve"> </w:t>
      </w:r>
      <w:r w:rsidRPr="00D433B1">
        <w:t xml:space="preserve">in the </w:t>
      </w:r>
      <w:r w:rsidRPr="00C51355">
        <w:rPr>
          <w:i/>
        </w:rPr>
        <w:t>Australia New Zealand Food Standards Code</w:t>
      </w:r>
    </w:p>
    <w:p w14:paraId="3B05EDBB" w14:textId="77777777" w:rsidR="0094343F" w:rsidRDefault="0094343F" w:rsidP="009620D7">
      <w:pPr>
        <w:pStyle w:val="FSCDraftingitem"/>
        <w:spacing w:beforeAutospacing="0" w:afterAutospacing="0"/>
      </w:pPr>
      <w:r>
        <w:t xml:space="preserve">The Schedule varies </w:t>
      </w:r>
      <w:r w:rsidRPr="007A6D6C">
        <w:t>Standard</w:t>
      </w:r>
      <w:r>
        <w:t>s</w:t>
      </w:r>
      <w:r w:rsidRPr="007A6D6C">
        <w:t xml:space="preserve"> </w:t>
      </w:r>
      <w:r>
        <w:t xml:space="preserve">in the </w:t>
      </w:r>
      <w:r w:rsidRPr="00792F7C">
        <w:rPr>
          <w:i/>
        </w:rPr>
        <w:t>Australia New Zealand Food Standards Code</w:t>
      </w:r>
      <w:r>
        <w:t>.</w:t>
      </w:r>
    </w:p>
    <w:p w14:paraId="6D7DFD6A" w14:textId="77777777" w:rsidR="0094343F" w:rsidRPr="00D433B1" w:rsidRDefault="0094343F" w:rsidP="009620D7">
      <w:pPr>
        <w:pStyle w:val="FSCDraftingitemheading"/>
        <w:spacing w:beforeAutospacing="0" w:afterAutospacing="0"/>
      </w:pPr>
      <w:r w:rsidRPr="00D433B1">
        <w:t>3</w:t>
      </w:r>
      <w:r w:rsidRPr="00D433B1">
        <w:tab/>
        <w:t>Commencement</w:t>
      </w:r>
    </w:p>
    <w:p w14:paraId="156FCD96" w14:textId="77777777" w:rsidR="0094343F" w:rsidRDefault="0094343F" w:rsidP="009620D7">
      <w:pPr>
        <w:pStyle w:val="FSCDraftingitem"/>
        <w:spacing w:beforeAutospacing="0" w:afterAutospacing="0"/>
      </w:pPr>
      <w:r>
        <w:t>The variation commenc</w:t>
      </w:r>
      <w:r w:rsidRPr="000055C4">
        <w:t>e</w:t>
      </w:r>
      <w:r>
        <w:t>s</w:t>
      </w:r>
      <w:r w:rsidRPr="000055C4">
        <w:t xml:space="preserve"> on</w:t>
      </w:r>
      <w:r>
        <w:t xml:space="preserve"> the date of gazettal.</w:t>
      </w:r>
    </w:p>
    <w:p w14:paraId="7D2EB38D" w14:textId="77777777" w:rsidR="0094343F" w:rsidRPr="00D433B1" w:rsidRDefault="0094343F" w:rsidP="009620D7">
      <w:pPr>
        <w:spacing w:before="0" w:beforeAutospacing="0" w:after="0" w:afterAutospacing="0"/>
        <w:jc w:val="center"/>
        <w:rPr>
          <w:b/>
          <w:sz w:val="20"/>
        </w:rPr>
      </w:pPr>
      <w:r w:rsidRPr="00D433B1">
        <w:rPr>
          <w:b/>
          <w:sz w:val="20"/>
        </w:rPr>
        <w:t>Schedule</w:t>
      </w:r>
    </w:p>
    <w:p w14:paraId="03AB340B" w14:textId="77777777" w:rsidR="0094343F" w:rsidRDefault="0094343F" w:rsidP="009620D7">
      <w:pPr>
        <w:pStyle w:val="FSCDraftingitem"/>
        <w:spacing w:beforeAutospacing="0" w:afterAutospacing="0"/>
        <w:rPr>
          <w:b/>
          <w:lang w:bidi="en-US"/>
        </w:rPr>
      </w:pPr>
      <w:r>
        <w:rPr>
          <w:b/>
          <w:lang w:bidi="en-US"/>
        </w:rPr>
        <w:t>[1]</w:t>
      </w:r>
      <w:r>
        <w:rPr>
          <w:b/>
          <w:lang w:bidi="en-US"/>
        </w:rPr>
        <w:tab/>
        <w:t>Schedule 3—Identity and Purity</w:t>
      </w:r>
    </w:p>
    <w:p w14:paraId="59F83B5F" w14:textId="77777777" w:rsidR="0094343F" w:rsidRPr="0048041D" w:rsidRDefault="0094343F" w:rsidP="009620D7">
      <w:pPr>
        <w:pStyle w:val="FSCDraftingitem"/>
        <w:spacing w:beforeAutospacing="0" w:afterAutospacing="0"/>
        <w:ind w:left="850" w:hanging="850"/>
        <w:rPr>
          <w:b/>
        </w:rPr>
      </w:pPr>
      <w:r w:rsidRPr="0048041D">
        <w:rPr>
          <w:b/>
          <w:lang w:bidi="en-US"/>
        </w:rPr>
        <w:t>[</w:t>
      </w:r>
      <w:r>
        <w:rPr>
          <w:b/>
          <w:lang w:bidi="en-US"/>
        </w:rPr>
        <w:t>1.1</w:t>
      </w:r>
      <w:r w:rsidRPr="0048041D">
        <w:rPr>
          <w:b/>
          <w:lang w:bidi="en-US"/>
        </w:rPr>
        <w:t>]</w:t>
      </w:r>
      <w:r>
        <w:rPr>
          <w:lang w:bidi="en-US"/>
        </w:rPr>
        <w:tab/>
      </w:r>
      <w:r w:rsidRPr="0048041D">
        <w:rPr>
          <w:b/>
        </w:rPr>
        <w:t>S</w:t>
      </w:r>
      <w:r>
        <w:rPr>
          <w:b/>
        </w:rPr>
        <w:t xml:space="preserve">ubsection S3—2(2) </w:t>
      </w:r>
      <w:r w:rsidRPr="0048041D">
        <w:rPr>
          <w:b/>
        </w:rPr>
        <w:t>(table</w:t>
      </w:r>
      <w:r>
        <w:rPr>
          <w:b/>
        </w:rPr>
        <w:t xml:space="preserve"> item dealing with the substance </w:t>
      </w:r>
      <w:r w:rsidRPr="000F62A2">
        <w:rPr>
          <w:b/>
        </w:rPr>
        <w:t>2</w:t>
      </w:r>
      <w:r w:rsidRPr="006F610D">
        <w:rPr>
          <w:b/>
          <w:i/>
        </w:rPr>
        <w:t>′</w:t>
      </w:r>
      <w:r w:rsidRPr="000F62A2">
        <w:rPr>
          <w:b/>
        </w:rPr>
        <w:t>-fucosyllactose</w:t>
      </w:r>
      <w:r>
        <w:rPr>
          <w:b/>
        </w:rPr>
        <w:t xml:space="preserve"> sourced from </w:t>
      </w:r>
      <w:r>
        <w:rPr>
          <w:b/>
          <w:i/>
        </w:rPr>
        <w:t>Escherichia coli</w:t>
      </w:r>
      <w:r>
        <w:rPr>
          <w:b/>
        </w:rPr>
        <w:t xml:space="preserve"> K-12)</w:t>
      </w:r>
    </w:p>
    <w:p w14:paraId="230AA041" w14:textId="77777777" w:rsidR="0094343F" w:rsidRDefault="0094343F" w:rsidP="009620D7">
      <w:pPr>
        <w:pStyle w:val="FSCDraftingitem"/>
        <w:spacing w:beforeAutospacing="0" w:afterAutospacing="0"/>
        <w:rPr>
          <w:lang w:bidi="en-US"/>
        </w:rPr>
      </w:pPr>
      <w:r>
        <w:rPr>
          <w:b/>
          <w:lang w:bidi="en-US"/>
        </w:rPr>
        <w:tab/>
      </w:r>
      <w:r>
        <w:rPr>
          <w:lang w:bidi="en-US"/>
        </w:rPr>
        <w:t xml:space="preserve">Repeal the item, substitute: </w:t>
      </w:r>
    </w:p>
    <w:tbl>
      <w:tblPr>
        <w:tblStyle w:val="TableGrid2"/>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2550"/>
      </w:tblGrid>
      <w:tr w:rsidR="0094343F" w:rsidRPr="00C56562" w14:paraId="7EC29F26" w14:textId="77777777" w:rsidTr="0094343F">
        <w:trPr>
          <w:cantSplit/>
          <w:jc w:val="center"/>
        </w:trPr>
        <w:tc>
          <w:tcPr>
            <w:tcW w:w="4254" w:type="dxa"/>
            <w:hideMark/>
          </w:tcPr>
          <w:p w14:paraId="69B290F0" w14:textId="77777777" w:rsidR="0094343F" w:rsidRPr="00715E84" w:rsidRDefault="0094343F" w:rsidP="009620D7">
            <w:pPr>
              <w:pStyle w:val="FSCtblMain"/>
              <w:spacing w:before="0" w:beforeAutospacing="0" w:after="0" w:afterAutospacing="0"/>
            </w:pPr>
            <w:r w:rsidRPr="00C56562">
              <w:t>2</w:t>
            </w:r>
            <w:r w:rsidRPr="00C56562">
              <w:rPr>
                <w:i/>
              </w:rPr>
              <w:t>′-</w:t>
            </w:r>
            <w:r w:rsidRPr="00C56562">
              <w:t>fucosyllactose</w:t>
            </w:r>
            <w:r>
              <w:t xml:space="preserve"> sourced from </w:t>
            </w:r>
            <w:r>
              <w:rPr>
                <w:i/>
              </w:rPr>
              <w:t xml:space="preserve">Escherichia coli </w:t>
            </w:r>
            <w:r w:rsidRPr="004E0A99">
              <w:t>K-12</w:t>
            </w:r>
            <w:r>
              <w:t xml:space="preserve"> containing the gene </w:t>
            </w:r>
            <w:r w:rsidRPr="000F7F33">
              <w:rPr>
                <w:rFonts w:cs="Times New Roman"/>
              </w:rPr>
              <w:t>for alpha-1,2-fucosyltransferase</w:t>
            </w:r>
            <w:r>
              <w:t xml:space="preserve"> from either</w:t>
            </w:r>
            <w:r>
              <w:rPr>
                <w:i/>
              </w:rPr>
              <w:t xml:space="preserve"> Helicobacter pylori</w:t>
            </w:r>
            <w:r>
              <w:t xml:space="preserve"> or </w:t>
            </w:r>
            <w:r>
              <w:rPr>
                <w:i/>
              </w:rPr>
              <w:t>Bacteroides vulgatus</w:t>
            </w:r>
          </w:p>
        </w:tc>
        <w:tc>
          <w:tcPr>
            <w:tcW w:w="2550" w:type="dxa"/>
            <w:hideMark/>
          </w:tcPr>
          <w:p w14:paraId="026F314A" w14:textId="77777777" w:rsidR="0094343F" w:rsidRPr="00C56562" w:rsidRDefault="0094343F" w:rsidP="009620D7">
            <w:pPr>
              <w:pStyle w:val="FSCtblMain"/>
              <w:spacing w:before="0" w:beforeAutospacing="0" w:after="0" w:afterAutospacing="0"/>
            </w:pPr>
            <w:r w:rsidRPr="00C56562">
              <w:t>section S3—40</w:t>
            </w:r>
          </w:p>
        </w:tc>
      </w:tr>
    </w:tbl>
    <w:p w14:paraId="0B6068A6" w14:textId="77777777" w:rsidR="0094343F" w:rsidRDefault="0094343F" w:rsidP="009620D7">
      <w:pPr>
        <w:pStyle w:val="FSCDraftingitem"/>
        <w:spacing w:beforeAutospacing="0" w:afterAutospacing="0"/>
        <w:rPr>
          <w:b/>
          <w:lang w:bidi="en-US"/>
        </w:rPr>
      </w:pPr>
      <w:r w:rsidRPr="0048041D">
        <w:rPr>
          <w:b/>
          <w:lang w:bidi="en-US"/>
        </w:rPr>
        <w:t>[</w:t>
      </w:r>
      <w:r>
        <w:rPr>
          <w:b/>
          <w:lang w:bidi="en-US"/>
        </w:rPr>
        <w:t>1.2</w:t>
      </w:r>
      <w:r w:rsidRPr="0048041D">
        <w:rPr>
          <w:b/>
          <w:lang w:bidi="en-US"/>
        </w:rPr>
        <w:t>]</w:t>
      </w:r>
      <w:r>
        <w:rPr>
          <w:lang w:bidi="en-US"/>
        </w:rPr>
        <w:tab/>
      </w:r>
      <w:r>
        <w:rPr>
          <w:b/>
          <w:lang w:bidi="en-US"/>
        </w:rPr>
        <w:t>Section S3—40</w:t>
      </w:r>
    </w:p>
    <w:p w14:paraId="0C9B6BD2" w14:textId="77777777" w:rsidR="0094343F" w:rsidRDefault="0094343F" w:rsidP="009620D7">
      <w:pPr>
        <w:pStyle w:val="FSCDraftingitem"/>
        <w:spacing w:beforeAutospacing="0" w:afterAutospacing="0"/>
        <w:rPr>
          <w:b/>
          <w:lang w:bidi="en-US"/>
        </w:rPr>
      </w:pPr>
      <w:r>
        <w:rPr>
          <w:b/>
          <w:lang w:bidi="en-US"/>
        </w:rPr>
        <w:tab/>
      </w:r>
      <w:r>
        <w:rPr>
          <w:lang w:bidi="en-US"/>
        </w:rPr>
        <w:t>Repeal the section, substitute:</w:t>
      </w:r>
      <w:r>
        <w:rPr>
          <w:b/>
          <w:lang w:bidi="en-US"/>
        </w:rPr>
        <w:t xml:space="preserve"> </w:t>
      </w:r>
    </w:p>
    <w:p w14:paraId="4183FDA7" w14:textId="77777777" w:rsidR="0094343F" w:rsidRPr="006B26BD" w:rsidRDefault="0094343F" w:rsidP="003438F7">
      <w:pPr>
        <w:pStyle w:val="FSCh5Section"/>
        <w:rPr>
          <w:szCs w:val="22"/>
        </w:rPr>
      </w:pPr>
      <w:r>
        <w:t>S3—40</w:t>
      </w:r>
      <w:r>
        <w:tab/>
        <w:t xml:space="preserve">Specification for </w:t>
      </w:r>
      <w:r w:rsidRPr="006D4A9F">
        <w:t>2</w:t>
      </w:r>
      <w:r w:rsidRPr="006D4A9F">
        <w:rPr>
          <w:rFonts w:cs="Arial"/>
        </w:rPr>
        <w:t>′</w:t>
      </w:r>
      <w:r>
        <w:rPr>
          <w:i/>
        </w:rPr>
        <w:t>-</w:t>
      </w:r>
      <w:r w:rsidRPr="006B26BD">
        <w:rPr>
          <w:szCs w:val="22"/>
        </w:rPr>
        <w:t xml:space="preserve">fucosyllactose </w:t>
      </w:r>
      <w:r>
        <w:rPr>
          <w:szCs w:val="22"/>
        </w:rPr>
        <w:t xml:space="preserve">sourced </w:t>
      </w:r>
      <w:r w:rsidRPr="006B26BD">
        <w:rPr>
          <w:szCs w:val="22"/>
        </w:rPr>
        <w:t xml:space="preserve">from </w:t>
      </w:r>
      <w:r w:rsidRPr="00373BF3">
        <w:rPr>
          <w:rFonts w:cs="Arial"/>
          <w:i/>
          <w:szCs w:val="22"/>
        </w:rPr>
        <w:t>Escherichia coli</w:t>
      </w:r>
      <w:r w:rsidRPr="006B26BD">
        <w:rPr>
          <w:i/>
          <w:szCs w:val="22"/>
        </w:rPr>
        <w:t xml:space="preserve"> </w:t>
      </w:r>
      <w:r>
        <w:rPr>
          <w:szCs w:val="22"/>
        </w:rPr>
        <w:t xml:space="preserve">K-12 containing the gene </w:t>
      </w:r>
      <w:r w:rsidRPr="009D1E8F">
        <w:rPr>
          <w:szCs w:val="22"/>
        </w:rPr>
        <w:t xml:space="preserve">for alpha-1,2-fucosyltransferase </w:t>
      </w:r>
      <w:r w:rsidRPr="000C5194">
        <w:t>from</w:t>
      </w:r>
      <w:r>
        <w:t xml:space="preserve"> either </w:t>
      </w:r>
      <w:r w:rsidRPr="009837F6">
        <w:rPr>
          <w:i/>
        </w:rPr>
        <w:t>Helicobacter pylori</w:t>
      </w:r>
      <w:r>
        <w:t xml:space="preserve"> or</w:t>
      </w:r>
      <w:r w:rsidRPr="000C5194">
        <w:rPr>
          <w:i/>
        </w:rPr>
        <w:t xml:space="preserve"> Bacteroides vulgatus</w:t>
      </w:r>
    </w:p>
    <w:p w14:paraId="7FA6C981" w14:textId="62CF365C" w:rsidR="0094343F" w:rsidRDefault="0094343F" w:rsidP="003438F7">
      <w:pPr>
        <w:pStyle w:val="FSCtMain"/>
        <w:ind w:firstLine="0"/>
      </w:pPr>
      <w:r>
        <w:tab/>
        <w:t>For 2′-</w:t>
      </w:r>
      <w:r w:rsidRPr="0068561C">
        <w:t>fucosyllactose (2′-FL)</w:t>
      </w:r>
      <w:r>
        <w:t xml:space="preserve"> </w:t>
      </w:r>
      <w:r w:rsidRPr="00D441B2">
        <w:t xml:space="preserve">sourced from </w:t>
      </w:r>
      <w:r w:rsidRPr="00373BF3">
        <w:rPr>
          <w:i/>
        </w:rPr>
        <w:t>Escherichia coli</w:t>
      </w:r>
      <w:r w:rsidRPr="00D441B2">
        <w:t xml:space="preserve"> </w:t>
      </w:r>
      <w:r>
        <w:t>K-12</w:t>
      </w:r>
      <w:r w:rsidDel="00833B48">
        <w:t xml:space="preserve"> </w:t>
      </w:r>
      <w:r>
        <w:t xml:space="preserve">containing the gene </w:t>
      </w:r>
      <w:r w:rsidRPr="009D1E8F">
        <w:t xml:space="preserve">for alpha-1,2-fucosyltransferase </w:t>
      </w:r>
      <w:r>
        <w:t xml:space="preserve">from either </w:t>
      </w:r>
      <w:r>
        <w:rPr>
          <w:i/>
        </w:rPr>
        <w:t xml:space="preserve">Helicobacter pylori </w:t>
      </w:r>
      <w:r>
        <w:t xml:space="preserve">or </w:t>
      </w:r>
      <w:r>
        <w:rPr>
          <w:i/>
        </w:rPr>
        <w:t>Bacteroides vulgatus,</w:t>
      </w:r>
      <w:r>
        <w:t xml:space="preserve"> </w:t>
      </w:r>
      <w:r w:rsidRPr="0068561C">
        <w:t>the specifications are the following:</w:t>
      </w:r>
    </w:p>
    <w:p w14:paraId="3C8D51E6" w14:textId="77777777" w:rsidR="0094343F" w:rsidRPr="00FA1DB3" w:rsidRDefault="0094343F" w:rsidP="009620D7">
      <w:pPr>
        <w:tabs>
          <w:tab w:val="left" w:pos="1701"/>
        </w:tabs>
        <w:spacing w:before="60" w:beforeAutospacing="0" w:after="60" w:afterAutospacing="0"/>
        <w:ind w:left="2268" w:hanging="2268"/>
        <w:rPr>
          <w:rFonts w:cs="Arial"/>
          <w:iCs/>
          <w:sz w:val="20"/>
          <w:lang w:eastAsia="en-AU"/>
        </w:rPr>
      </w:pPr>
      <w:r>
        <w:rPr>
          <w:rFonts w:cs="Arial"/>
          <w:iCs/>
          <w:sz w:val="20"/>
          <w:lang w:eastAsia="en-AU"/>
        </w:rPr>
        <w:tab/>
      </w:r>
      <w:r w:rsidRPr="00FA1DB3">
        <w:rPr>
          <w:rFonts w:cs="Arial"/>
          <w:iCs/>
          <w:sz w:val="20"/>
          <w:lang w:eastAsia="en-AU"/>
        </w:rPr>
        <w:t>(a)</w:t>
      </w:r>
      <w:r w:rsidRPr="00FA1DB3">
        <w:rPr>
          <w:rFonts w:cs="Arial"/>
          <w:iCs/>
          <w:sz w:val="20"/>
          <w:lang w:eastAsia="en-AU"/>
        </w:rPr>
        <w:tab/>
        <w:t xml:space="preserve">chemical name—α-L-fucopyranosyl-(1→2)-β-D-galactopyranosyl-(1→4)-D-glucopyranose; </w:t>
      </w:r>
    </w:p>
    <w:p w14:paraId="148BBE19" w14:textId="77777777" w:rsidR="0094343F" w:rsidRPr="00FA1DB3" w:rsidRDefault="0094343F" w:rsidP="009620D7">
      <w:pPr>
        <w:tabs>
          <w:tab w:val="left" w:pos="1701"/>
        </w:tabs>
        <w:spacing w:before="60" w:beforeAutospacing="0" w:after="60" w:afterAutospacing="0"/>
        <w:ind w:left="2268" w:hanging="2268"/>
        <w:rPr>
          <w:rFonts w:cs="Arial"/>
          <w:iCs/>
          <w:sz w:val="20"/>
          <w:lang w:eastAsia="en-AU"/>
        </w:rPr>
      </w:pPr>
      <w:r>
        <w:rPr>
          <w:rFonts w:cs="Arial"/>
          <w:iCs/>
          <w:sz w:val="20"/>
          <w:lang w:eastAsia="en-AU"/>
        </w:rPr>
        <w:tab/>
      </w:r>
      <w:r w:rsidRPr="00FA1DB3">
        <w:rPr>
          <w:rFonts w:cs="Arial"/>
          <w:iCs/>
          <w:sz w:val="20"/>
          <w:lang w:eastAsia="en-AU"/>
        </w:rPr>
        <w:t>(b)</w:t>
      </w:r>
      <w:r w:rsidRPr="00FA1DB3">
        <w:rPr>
          <w:rFonts w:cs="Arial"/>
          <w:iCs/>
          <w:sz w:val="20"/>
          <w:lang w:eastAsia="en-AU"/>
        </w:rPr>
        <w:tab/>
        <w:t>chemical formula—</w:t>
      </w:r>
      <w:r w:rsidRPr="00FA1DB3">
        <w:rPr>
          <w:rFonts w:cs="Arial"/>
          <w:iCs/>
          <w:sz w:val="20"/>
          <w:lang w:val="en" w:eastAsia="en-AU"/>
        </w:rPr>
        <w:t>C</w:t>
      </w:r>
      <w:r w:rsidRPr="00FA1DB3">
        <w:rPr>
          <w:rFonts w:cs="Arial"/>
          <w:iCs/>
          <w:sz w:val="20"/>
          <w:vertAlign w:val="subscript"/>
          <w:lang w:val="en" w:eastAsia="en-AU"/>
        </w:rPr>
        <w:t>18</w:t>
      </w:r>
      <w:r w:rsidRPr="00FA1DB3">
        <w:rPr>
          <w:rFonts w:cs="Arial"/>
          <w:iCs/>
          <w:sz w:val="20"/>
          <w:lang w:val="en" w:eastAsia="en-AU"/>
        </w:rPr>
        <w:t>H</w:t>
      </w:r>
      <w:r w:rsidRPr="00FA1DB3">
        <w:rPr>
          <w:rFonts w:cs="Arial"/>
          <w:iCs/>
          <w:sz w:val="20"/>
          <w:vertAlign w:val="subscript"/>
          <w:lang w:val="en" w:eastAsia="en-AU"/>
        </w:rPr>
        <w:t>32</w:t>
      </w:r>
      <w:r w:rsidRPr="00FA1DB3">
        <w:rPr>
          <w:rFonts w:cs="Arial"/>
          <w:iCs/>
          <w:sz w:val="20"/>
          <w:lang w:val="en" w:eastAsia="en-AU"/>
        </w:rPr>
        <w:t>O</w:t>
      </w:r>
      <w:r w:rsidRPr="00FA1DB3">
        <w:rPr>
          <w:rFonts w:cs="Arial"/>
          <w:iCs/>
          <w:sz w:val="20"/>
          <w:vertAlign w:val="subscript"/>
          <w:lang w:val="en" w:eastAsia="en-AU"/>
        </w:rPr>
        <w:t>15</w:t>
      </w:r>
      <w:r w:rsidRPr="00FA1DB3">
        <w:rPr>
          <w:rFonts w:cs="Arial"/>
          <w:iCs/>
          <w:sz w:val="20"/>
          <w:lang w:eastAsia="en-AU"/>
        </w:rPr>
        <w:t>;</w:t>
      </w:r>
    </w:p>
    <w:p w14:paraId="50087AE1" w14:textId="77777777" w:rsidR="0094343F" w:rsidRPr="00FA1DB3" w:rsidRDefault="0094343F" w:rsidP="009620D7">
      <w:pPr>
        <w:tabs>
          <w:tab w:val="left" w:pos="1701"/>
        </w:tabs>
        <w:spacing w:before="60" w:beforeAutospacing="0" w:after="60" w:afterAutospacing="0"/>
        <w:ind w:left="2268" w:hanging="2268"/>
        <w:rPr>
          <w:rFonts w:cs="Arial"/>
          <w:iCs/>
          <w:sz w:val="20"/>
          <w:lang w:eastAsia="en-AU"/>
        </w:rPr>
      </w:pPr>
      <w:r>
        <w:rPr>
          <w:rFonts w:cs="Arial"/>
          <w:iCs/>
          <w:sz w:val="20"/>
          <w:lang w:eastAsia="en-AU"/>
        </w:rPr>
        <w:tab/>
      </w:r>
      <w:r w:rsidRPr="00FA1DB3">
        <w:rPr>
          <w:rFonts w:cs="Arial"/>
          <w:iCs/>
          <w:sz w:val="20"/>
          <w:lang w:eastAsia="en-AU"/>
        </w:rPr>
        <w:t>(c)</w:t>
      </w:r>
      <w:r w:rsidRPr="00FA1DB3">
        <w:rPr>
          <w:rFonts w:cs="Arial"/>
          <w:iCs/>
          <w:sz w:val="20"/>
          <w:lang w:eastAsia="en-AU"/>
        </w:rPr>
        <w:tab/>
        <w:t>molecular weight—488.44 g/mol;</w:t>
      </w:r>
    </w:p>
    <w:p w14:paraId="705EF39C" w14:textId="77777777" w:rsidR="0094343F" w:rsidRPr="00FA1DB3" w:rsidRDefault="0094343F" w:rsidP="009620D7">
      <w:pPr>
        <w:tabs>
          <w:tab w:val="left" w:pos="1701"/>
        </w:tabs>
        <w:spacing w:before="60" w:beforeAutospacing="0" w:after="60" w:afterAutospacing="0"/>
        <w:ind w:left="2268" w:hanging="2268"/>
        <w:rPr>
          <w:rFonts w:cs="Arial"/>
          <w:iCs/>
          <w:sz w:val="20"/>
          <w:lang w:eastAsia="en-AU"/>
        </w:rPr>
      </w:pPr>
      <w:r>
        <w:rPr>
          <w:rFonts w:cs="Arial"/>
          <w:iCs/>
          <w:sz w:val="20"/>
          <w:lang w:eastAsia="en-AU"/>
        </w:rPr>
        <w:tab/>
      </w:r>
      <w:r w:rsidRPr="00FA1DB3">
        <w:rPr>
          <w:rFonts w:cs="Arial"/>
          <w:iCs/>
          <w:sz w:val="20"/>
          <w:lang w:eastAsia="en-AU"/>
        </w:rPr>
        <w:t>(d)</w:t>
      </w:r>
      <w:r w:rsidRPr="00FA1DB3">
        <w:rPr>
          <w:rFonts w:cs="Arial"/>
          <w:iCs/>
          <w:sz w:val="20"/>
          <w:lang w:eastAsia="en-AU"/>
        </w:rPr>
        <w:tab/>
        <w:t>CAS number—41263-94-9;</w:t>
      </w:r>
    </w:p>
    <w:p w14:paraId="05B49AC4" w14:textId="77777777" w:rsidR="0094343F" w:rsidRPr="00FA1DB3" w:rsidRDefault="0094343F" w:rsidP="009620D7">
      <w:pPr>
        <w:tabs>
          <w:tab w:val="left" w:pos="1701"/>
        </w:tabs>
        <w:spacing w:before="60" w:beforeAutospacing="0" w:after="60" w:afterAutospacing="0"/>
        <w:ind w:left="2268" w:hanging="2268"/>
        <w:rPr>
          <w:rFonts w:cs="Arial"/>
          <w:iCs/>
          <w:sz w:val="20"/>
          <w:lang w:eastAsia="en-AU"/>
        </w:rPr>
      </w:pPr>
      <w:r>
        <w:rPr>
          <w:rFonts w:cs="Arial"/>
          <w:iCs/>
          <w:sz w:val="20"/>
          <w:lang w:eastAsia="en-AU"/>
        </w:rPr>
        <w:tab/>
      </w:r>
      <w:r w:rsidRPr="00FA1DB3">
        <w:rPr>
          <w:rFonts w:cs="Arial"/>
          <w:iCs/>
          <w:sz w:val="20"/>
          <w:lang w:eastAsia="en-AU"/>
        </w:rPr>
        <w:t>(e)</w:t>
      </w:r>
      <w:r w:rsidRPr="00FA1DB3">
        <w:rPr>
          <w:rFonts w:cs="Arial"/>
          <w:iCs/>
          <w:sz w:val="20"/>
          <w:lang w:eastAsia="en-AU"/>
        </w:rPr>
        <w:tab/>
        <w:t xml:space="preserve">description— </w:t>
      </w:r>
      <w:r w:rsidRPr="00355343">
        <w:rPr>
          <w:rFonts w:cs="Arial"/>
          <w:iCs/>
          <w:sz w:val="20"/>
          <w:lang w:eastAsia="en-AU"/>
        </w:rPr>
        <w:t>white to off-white powder</w:t>
      </w:r>
    </w:p>
    <w:p w14:paraId="7CA204AD" w14:textId="77777777" w:rsidR="0094343F" w:rsidRPr="00FA1DB3" w:rsidRDefault="0094343F" w:rsidP="009620D7">
      <w:pPr>
        <w:tabs>
          <w:tab w:val="left" w:pos="1701"/>
        </w:tabs>
        <w:spacing w:before="60" w:beforeAutospacing="0" w:after="60" w:afterAutospacing="0"/>
        <w:ind w:left="2268" w:hanging="2268"/>
        <w:rPr>
          <w:rFonts w:cs="Arial"/>
          <w:iCs/>
          <w:sz w:val="20"/>
          <w:lang w:eastAsia="en-AU"/>
        </w:rPr>
      </w:pPr>
      <w:r>
        <w:rPr>
          <w:rFonts w:cs="Arial"/>
          <w:iCs/>
          <w:sz w:val="20"/>
          <w:lang w:eastAsia="en-AU"/>
        </w:rPr>
        <w:tab/>
      </w:r>
      <w:r w:rsidRPr="00FA1DB3">
        <w:rPr>
          <w:rFonts w:cs="Arial"/>
          <w:iCs/>
          <w:sz w:val="20"/>
          <w:lang w:eastAsia="en-AU"/>
        </w:rPr>
        <w:t>(f)</w:t>
      </w:r>
      <w:r w:rsidRPr="00FA1DB3">
        <w:rPr>
          <w:rFonts w:cs="Arial"/>
          <w:iCs/>
          <w:sz w:val="20"/>
          <w:lang w:eastAsia="en-AU"/>
        </w:rPr>
        <w:tab/>
      </w:r>
      <w:r w:rsidRPr="00DC2375">
        <w:rPr>
          <w:rFonts w:cs="Arial"/>
          <w:iCs/>
          <w:sz w:val="20"/>
          <w:lang w:eastAsia="en-AU"/>
        </w:rPr>
        <w:t>2′-</w:t>
      </w:r>
      <w:r>
        <w:rPr>
          <w:rFonts w:cs="Arial"/>
          <w:iCs/>
          <w:sz w:val="20"/>
          <w:lang w:eastAsia="en-AU"/>
        </w:rPr>
        <w:t>FL</w:t>
      </w:r>
      <w:r w:rsidRPr="00DC2375">
        <w:rPr>
          <w:rFonts w:cs="Arial"/>
          <w:iCs/>
          <w:sz w:val="20"/>
          <w:lang w:eastAsia="en-AU"/>
        </w:rPr>
        <w:t>—not less than 83%</w:t>
      </w:r>
      <w:r w:rsidRPr="00FA1DB3">
        <w:rPr>
          <w:rFonts w:cs="Arial"/>
          <w:iCs/>
          <w:sz w:val="20"/>
          <w:lang w:eastAsia="en-AU"/>
        </w:rPr>
        <w:t>;</w:t>
      </w:r>
      <w:r>
        <w:rPr>
          <w:rFonts w:cs="Arial"/>
          <w:iCs/>
          <w:sz w:val="20"/>
          <w:lang w:eastAsia="en-AU"/>
        </w:rPr>
        <w:t xml:space="preserve"> </w:t>
      </w:r>
    </w:p>
    <w:p w14:paraId="6E9A58E1" w14:textId="77777777" w:rsidR="0094343F" w:rsidRPr="00FA1DB3" w:rsidRDefault="0094343F" w:rsidP="009620D7">
      <w:pPr>
        <w:tabs>
          <w:tab w:val="left" w:pos="1701"/>
        </w:tabs>
        <w:spacing w:before="60" w:beforeAutospacing="0" w:after="60" w:afterAutospacing="0"/>
        <w:ind w:left="2268" w:hanging="2268"/>
        <w:rPr>
          <w:rFonts w:cs="Arial"/>
          <w:iCs/>
          <w:sz w:val="20"/>
          <w:lang w:eastAsia="en-AU"/>
        </w:rPr>
      </w:pPr>
      <w:r>
        <w:rPr>
          <w:rFonts w:cs="Arial"/>
          <w:iCs/>
          <w:sz w:val="20"/>
          <w:lang w:eastAsia="en-AU"/>
        </w:rPr>
        <w:tab/>
      </w:r>
      <w:r w:rsidRPr="00FA1DB3">
        <w:rPr>
          <w:rFonts w:cs="Arial"/>
          <w:iCs/>
          <w:sz w:val="20"/>
          <w:lang w:eastAsia="en-AU"/>
        </w:rPr>
        <w:t>(g)</w:t>
      </w:r>
      <w:r w:rsidRPr="00FA1DB3">
        <w:rPr>
          <w:rFonts w:cs="Arial"/>
          <w:iCs/>
          <w:sz w:val="20"/>
          <w:lang w:eastAsia="en-AU"/>
        </w:rPr>
        <w:tab/>
        <w:t xml:space="preserve">D-lactose—not more than </w:t>
      </w:r>
      <w:r>
        <w:rPr>
          <w:rFonts w:cs="Arial"/>
          <w:iCs/>
          <w:sz w:val="20"/>
          <w:lang w:eastAsia="en-AU"/>
        </w:rPr>
        <w:t>10</w:t>
      </w:r>
      <w:r w:rsidRPr="00FA1DB3">
        <w:rPr>
          <w:rFonts w:cs="Arial"/>
          <w:iCs/>
          <w:sz w:val="20"/>
          <w:lang w:eastAsia="en-AU"/>
        </w:rPr>
        <w:t>.0%</w:t>
      </w:r>
      <w:r>
        <w:rPr>
          <w:rFonts w:cs="Arial"/>
          <w:iCs/>
          <w:sz w:val="20"/>
          <w:lang w:eastAsia="en-AU"/>
        </w:rPr>
        <w:t>;</w:t>
      </w:r>
    </w:p>
    <w:p w14:paraId="3250AFA4" w14:textId="77777777" w:rsidR="0094343F" w:rsidRPr="00FA1DB3" w:rsidRDefault="0094343F" w:rsidP="009620D7">
      <w:pPr>
        <w:tabs>
          <w:tab w:val="left" w:pos="1701"/>
        </w:tabs>
        <w:spacing w:before="60" w:beforeAutospacing="0" w:after="60" w:afterAutospacing="0"/>
        <w:ind w:left="2268" w:hanging="2268"/>
        <w:rPr>
          <w:rFonts w:cs="Arial"/>
          <w:iCs/>
          <w:sz w:val="20"/>
          <w:lang w:eastAsia="en-AU"/>
        </w:rPr>
      </w:pPr>
      <w:r>
        <w:rPr>
          <w:rFonts w:cs="Arial"/>
          <w:iCs/>
          <w:sz w:val="20"/>
          <w:lang w:eastAsia="en-AU"/>
        </w:rPr>
        <w:tab/>
      </w:r>
      <w:r w:rsidRPr="00FA1DB3">
        <w:rPr>
          <w:rFonts w:cs="Arial"/>
          <w:iCs/>
          <w:sz w:val="20"/>
          <w:lang w:eastAsia="en-AU"/>
        </w:rPr>
        <w:t>(h)</w:t>
      </w:r>
      <w:r w:rsidRPr="00FA1DB3">
        <w:rPr>
          <w:rFonts w:cs="Arial"/>
          <w:iCs/>
          <w:sz w:val="20"/>
          <w:lang w:eastAsia="en-AU"/>
        </w:rPr>
        <w:tab/>
        <w:t>L-</w:t>
      </w:r>
      <w:r>
        <w:rPr>
          <w:rFonts w:cs="Arial"/>
          <w:iCs/>
          <w:sz w:val="20"/>
          <w:lang w:eastAsia="en-AU"/>
        </w:rPr>
        <w:t>f</w:t>
      </w:r>
      <w:r w:rsidRPr="00FA1DB3">
        <w:rPr>
          <w:rFonts w:cs="Arial"/>
          <w:iCs/>
          <w:sz w:val="20"/>
          <w:lang w:eastAsia="en-AU"/>
        </w:rPr>
        <w:t>ucose—not more than 2.0%</w:t>
      </w:r>
      <w:r>
        <w:rPr>
          <w:rFonts w:cs="Arial"/>
          <w:iCs/>
          <w:sz w:val="20"/>
          <w:lang w:eastAsia="en-AU"/>
        </w:rPr>
        <w:t>;</w:t>
      </w:r>
    </w:p>
    <w:p w14:paraId="5C6F02D0" w14:textId="77777777" w:rsidR="0094343F" w:rsidRPr="00FA1DB3" w:rsidRDefault="0094343F" w:rsidP="009620D7">
      <w:pPr>
        <w:tabs>
          <w:tab w:val="left" w:pos="1701"/>
        </w:tabs>
        <w:spacing w:before="60" w:beforeAutospacing="0" w:after="60" w:afterAutospacing="0"/>
        <w:ind w:left="2268" w:hanging="2268"/>
        <w:rPr>
          <w:rFonts w:cs="Arial"/>
          <w:iCs/>
          <w:sz w:val="20"/>
          <w:lang w:eastAsia="en-AU"/>
        </w:rPr>
      </w:pPr>
      <w:r>
        <w:rPr>
          <w:rFonts w:cs="Arial"/>
          <w:iCs/>
          <w:sz w:val="20"/>
          <w:lang w:eastAsia="en-AU"/>
        </w:rPr>
        <w:tab/>
      </w:r>
      <w:r w:rsidRPr="00FA1DB3">
        <w:rPr>
          <w:rFonts w:cs="Arial"/>
          <w:iCs/>
          <w:sz w:val="20"/>
          <w:lang w:eastAsia="en-AU"/>
        </w:rPr>
        <w:t>(i)</w:t>
      </w:r>
      <w:r w:rsidRPr="00FA1DB3">
        <w:rPr>
          <w:rFonts w:cs="Arial"/>
          <w:iCs/>
          <w:sz w:val="20"/>
          <w:lang w:eastAsia="en-AU"/>
        </w:rPr>
        <w:tab/>
      </w:r>
      <w:r>
        <w:rPr>
          <w:rFonts w:cs="Arial"/>
          <w:iCs/>
          <w:sz w:val="20"/>
          <w:lang w:eastAsia="en-AU"/>
        </w:rPr>
        <w:t>d</w:t>
      </w:r>
      <w:r w:rsidRPr="00DC2375">
        <w:rPr>
          <w:rFonts w:cs="Arial"/>
          <w:iCs/>
          <w:sz w:val="20"/>
          <w:lang w:eastAsia="en-AU"/>
        </w:rPr>
        <w:t>ifucosyl-D-lactose</w:t>
      </w:r>
      <w:r w:rsidRPr="00F01472">
        <w:rPr>
          <w:rFonts w:cs="Arial"/>
          <w:iCs/>
          <w:sz w:val="20"/>
          <w:lang w:eastAsia="en-AU"/>
        </w:rPr>
        <w:t xml:space="preserve">—not more than </w:t>
      </w:r>
      <w:r w:rsidRPr="00DC2375">
        <w:rPr>
          <w:rFonts w:cs="Arial"/>
          <w:iCs/>
          <w:sz w:val="20"/>
          <w:lang w:eastAsia="en-AU"/>
        </w:rPr>
        <w:t>5</w:t>
      </w:r>
      <w:r>
        <w:rPr>
          <w:rFonts w:cs="Arial"/>
          <w:iCs/>
          <w:sz w:val="20"/>
          <w:lang w:eastAsia="en-AU"/>
        </w:rPr>
        <w:t>.</w:t>
      </w:r>
      <w:r w:rsidRPr="00DC2375">
        <w:rPr>
          <w:rFonts w:cs="Arial"/>
          <w:iCs/>
          <w:sz w:val="20"/>
          <w:lang w:eastAsia="en-AU"/>
        </w:rPr>
        <w:t>0 %</w:t>
      </w:r>
      <w:r>
        <w:rPr>
          <w:rFonts w:cs="Arial"/>
          <w:iCs/>
          <w:sz w:val="20"/>
          <w:lang w:eastAsia="en-AU"/>
        </w:rPr>
        <w:t>;</w:t>
      </w:r>
    </w:p>
    <w:p w14:paraId="29CBD668" w14:textId="77777777" w:rsidR="0094343F" w:rsidRPr="00FA1DB3" w:rsidRDefault="0094343F" w:rsidP="009620D7">
      <w:pPr>
        <w:tabs>
          <w:tab w:val="left" w:pos="1701"/>
        </w:tabs>
        <w:spacing w:before="60" w:beforeAutospacing="0" w:after="60" w:afterAutospacing="0"/>
        <w:ind w:left="2268" w:hanging="2268"/>
        <w:rPr>
          <w:rFonts w:cs="Arial"/>
          <w:iCs/>
          <w:sz w:val="20"/>
          <w:lang w:eastAsia="en-AU"/>
        </w:rPr>
      </w:pPr>
      <w:r>
        <w:rPr>
          <w:rFonts w:cs="Arial"/>
          <w:iCs/>
          <w:sz w:val="20"/>
          <w:lang w:eastAsia="en-AU"/>
        </w:rPr>
        <w:tab/>
      </w:r>
      <w:r w:rsidRPr="00FA1DB3">
        <w:rPr>
          <w:rFonts w:cs="Arial"/>
          <w:iCs/>
          <w:sz w:val="20"/>
          <w:lang w:eastAsia="en-AU"/>
        </w:rPr>
        <w:t>(j)</w:t>
      </w:r>
      <w:r w:rsidRPr="00FA1DB3">
        <w:rPr>
          <w:rFonts w:cs="Arial"/>
          <w:iCs/>
          <w:sz w:val="20"/>
          <w:lang w:eastAsia="en-AU"/>
        </w:rPr>
        <w:tab/>
        <w:t>2</w:t>
      </w:r>
      <w:r w:rsidRPr="00DC2375">
        <w:rPr>
          <w:rFonts w:cs="Arial"/>
          <w:iCs/>
          <w:sz w:val="20"/>
          <w:lang w:eastAsia="en-AU"/>
        </w:rPr>
        <w:t>′-</w:t>
      </w:r>
      <w:r>
        <w:rPr>
          <w:rFonts w:cs="Arial"/>
          <w:iCs/>
          <w:sz w:val="20"/>
          <w:lang w:eastAsia="en-AU"/>
        </w:rPr>
        <w:t>f</w:t>
      </w:r>
      <w:r w:rsidRPr="00DC2375">
        <w:rPr>
          <w:rFonts w:cs="Arial"/>
          <w:iCs/>
          <w:sz w:val="20"/>
          <w:lang w:eastAsia="en-AU"/>
        </w:rPr>
        <w:t>ucosyl-D-lactulose</w:t>
      </w:r>
      <w:r w:rsidRPr="00F01472">
        <w:rPr>
          <w:rFonts w:cs="Arial"/>
          <w:iCs/>
          <w:sz w:val="20"/>
          <w:lang w:eastAsia="en-AU"/>
        </w:rPr>
        <w:t xml:space="preserve">—not more than </w:t>
      </w:r>
      <w:r w:rsidRPr="00DC2375">
        <w:rPr>
          <w:rFonts w:cs="Arial"/>
          <w:iCs/>
          <w:sz w:val="20"/>
          <w:lang w:eastAsia="en-AU"/>
        </w:rPr>
        <w:t>1</w:t>
      </w:r>
      <w:r>
        <w:rPr>
          <w:rFonts w:cs="Arial"/>
          <w:iCs/>
          <w:sz w:val="20"/>
          <w:lang w:eastAsia="en-AU"/>
        </w:rPr>
        <w:t>.</w:t>
      </w:r>
      <w:r w:rsidRPr="00DC2375">
        <w:rPr>
          <w:rFonts w:cs="Arial"/>
          <w:iCs/>
          <w:sz w:val="20"/>
          <w:lang w:eastAsia="en-AU"/>
        </w:rPr>
        <w:t>5 %</w:t>
      </w:r>
      <w:r>
        <w:rPr>
          <w:rFonts w:cs="Arial"/>
          <w:iCs/>
          <w:sz w:val="20"/>
          <w:lang w:eastAsia="en-AU"/>
        </w:rPr>
        <w:t>;</w:t>
      </w:r>
    </w:p>
    <w:p w14:paraId="0BED1C64" w14:textId="77777777" w:rsidR="0094343F" w:rsidRPr="00FA1DB3" w:rsidRDefault="0094343F" w:rsidP="009620D7">
      <w:pPr>
        <w:tabs>
          <w:tab w:val="left" w:pos="1701"/>
        </w:tabs>
        <w:spacing w:before="60" w:beforeAutospacing="0" w:after="60" w:afterAutospacing="0"/>
        <w:ind w:left="2268" w:hanging="2268"/>
        <w:rPr>
          <w:rFonts w:cs="Arial"/>
          <w:iCs/>
          <w:sz w:val="20"/>
          <w:lang w:eastAsia="en-AU"/>
        </w:rPr>
      </w:pPr>
      <w:r>
        <w:rPr>
          <w:rFonts w:cs="Arial"/>
          <w:iCs/>
          <w:sz w:val="20"/>
          <w:lang w:eastAsia="en-AU"/>
        </w:rPr>
        <w:tab/>
      </w:r>
      <w:r w:rsidRPr="00FA1DB3">
        <w:rPr>
          <w:rFonts w:cs="Arial"/>
          <w:iCs/>
          <w:sz w:val="20"/>
          <w:lang w:eastAsia="en-AU"/>
        </w:rPr>
        <w:t>(k)</w:t>
      </w:r>
      <w:r w:rsidRPr="00FA1DB3">
        <w:rPr>
          <w:rFonts w:cs="Arial"/>
          <w:iCs/>
          <w:sz w:val="20"/>
          <w:lang w:eastAsia="en-AU"/>
        </w:rPr>
        <w:tab/>
      </w:r>
      <w:r>
        <w:rPr>
          <w:rFonts w:cs="Arial"/>
          <w:iCs/>
          <w:sz w:val="20"/>
          <w:lang w:eastAsia="en-AU"/>
        </w:rPr>
        <w:t>s</w:t>
      </w:r>
      <w:r w:rsidRPr="00DC2375">
        <w:rPr>
          <w:rFonts w:cs="Arial"/>
          <w:iCs/>
          <w:sz w:val="20"/>
          <w:lang w:eastAsia="en-AU"/>
        </w:rPr>
        <w:t>um of saccharides (2′-</w:t>
      </w:r>
      <w:r>
        <w:rPr>
          <w:rFonts w:cs="Arial"/>
          <w:iCs/>
          <w:sz w:val="20"/>
          <w:lang w:eastAsia="en-AU"/>
        </w:rPr>
        <w:t>FL</w:t>
      </w:r>
      <w:r w:rsidRPr="00DC2375">
        <w:rPr>
          <w:rFonts w:cs="Arial"/>
          <w:iCs/>
          <w:sz w:val="20"/>
          <w:lang w:eastAsia="en-AU"/>
        </w:rPr>
        <w:t>, D-</w:t>
      </w:r>
      <w:r>
        <w:rPr>
          <w:rFonts w:cs="Arial"/>
          <w:iCs/>
          <w:sz w:val="20"/>
          <w:lang w:eastAsia="en-AU"/>
        </w:rPr>
        <w:t>l</w:t>
      </w:r>
      <w:r w:rsidRPr="00DC2375">
        <w:rPr>
          <w:rFonts w:cs="Arial"/>
          <w:iCs/>
          <w:sz w:val="20"/>
          <w:lang w:eastAsia="en-AU"/>
        </w:rPr>
        <w:t>actose, L-</w:t>
      </w:r>
      <w:r>
        <w:rPr>
          <w:rFonts w:cs="Arial"/>
          <w:iCs/>
          <w:sz w:val="20"/>
          <w:lang w:eastAsia="en-AU"/>
        </w:rPr>
        <w:t>f</w:t>
      </w:r>
      <w:r w:rsidRPr="00DC2375">
        <w:rPr>
          <w:rFonts w:cs="Arial"/>
          <w:iCs/>
          <w:sz w:val="20"/>
          <w:lang w:eastAsia="en-AU"/>
        </w:rPr>
        <w:t xml:space="preserve">ucose, </w:t>
      </w:r>
      <w:r>
        <w:rPr>
          <w:rFonts w:cs="Arial"/>
          <w:iCs/>
          <w:sz w:val="20"/>
          <w:lang w:eastAsia="en-AU"/>
        </w:rPr>
        <w:t>d</w:t>
      </w:r>
      <w:r w:rsidRPr="00DC2375">
        <w:rPr>
          <w:rFonts w:cs="Arial"/>
          <w:iCs/>
          <w:sz w:val="20"/>
          <w:lang w:eastAsia="en-AU"/>
        </w:rPr>
        <w:t>ifucosyl-D-lactose</w:t>
      </w:r>
      <w:r>
        <w:rPr>
          <w:rFonts w:cs="Arial"/>
          <w:iCs/>
          <w:sz w:val="20"/>
          <w:lang w:eastAsia="en-AU"/>
        </w:rPr>
        <w:t>, 2′-fucosyl-D-lactulose)</w:t>
      </w:r>
      <w:r w:rsidRPr="00A80101">
        <w:rPr>
          <w:rFonts w:cs="Arial"/>
          <w:iCs/>
          <w:sz w:val="20"/>
          <w:lang w:eastAsia="en-AU"/>
        </w:rPr>
        <w:t>—not less than</w:t>
      </w:r>
      <w:r>
        <w:rPr>
          <w:rFonts w:cs="Arial"/>
          <w:iCs/>
          <w:sz w:val="20"/>
          <w:lang w:eastAsia="en-AU"/>
        </w:rPr>
        <w:t xml:space="preserve"> 90%;</w:t>
      </w:r>
    </w:p>
    <w:p w14:paraId="2266DC2E" w14:textId="77777777" w:rsidR="0094343F" w:rsidRPr="00FA1DB3" w:rsidRDefault="0094343F" w:rsidP="009620D7">
      <w:pPr>
        <w:tabs>
          <w:tab w:val="left" w:pos="1701"/>
        </w:tabs>
        <w:spacing w:before="60" w:beforeAutospacing="0" w:after="60" w:afterAutospacing="0"/>
        <w:ind w:left="2268" w:hanging="2268"/>
        <w:rPr>
          <w:rFonts w:cs="Arial"/>
          <w:iCs/>
          <w:sz w:val="20"/>
          <w:lang w:eastAsia="en-AU"/>
        </w:rPr>
      </w:pPr>
      <w:r>
        <w:rPr>
          <w:rFonts w:cs="Arial"/>
          <w:iCs/>
          <w:sz w:val="20"/>
          <w:lang w:eastAsia="en-AU"/>
        </w:rPr>
        <w:tab/>
        <w:t>(l</w:t>
      </w:r>
      <w:r w:rsidRPr="00FA1DB3">
        <w:rPr>
          <w:rFonts w:cs="Arial"/>
          <w:iCs/>
          <w:sz w:val="20"/>
          <w:lang w:eastAsia="en-AU"/>
        </w:rPr>
        <w:t>)</w:t>
      </w:r>
      <w:r w:rsidRPr="00FA1DB3">
        <w:rPr>
          <w:rFonts w:cs="Arial"/>
          <w:iCs/>
          <w:sz w:val="20"/>
          <w:lang w:eastAsia="en-AU"/>
        </w:rPr>
        <w:tab/>
      </w:r>
      <w:r>
        <w:rPr>
          <w:rFonts w:cs="Arial"/>
          <w:iCs/>
          <w:sz w:val="20"/>
          <w:lang w:eastAsia="en-AU"/>
        </w:rPr>
        <w:t>p</w:t>
      </w:r>
      <w:r w:rsidRPr="00DC2375">
        <w:rPr>
          <w:rFonts w:cs="Arial"/>
          <w:iCs/>
          <w:sz w:val="20"/>
          <w:lang w:eastAsia="en-AU"/>
        </w:rPr>
        <w:t>H (20</w:t>
      </w:r>
      <w:r>
        <w:rPr>
          <w:rFonts w:cs="Arial"/>
          <w:iCs/>
          <w:sz w:val="20"/>
          <w:lang w:eastAsia="en-AU"/>
        </w:rPr>
        <w:t>°</w:t>
      </w:r>
      <w:r w:rsidRPr="00DC2375">
        <w:rPr>
          <w:rFonts w:cs="Arial"/>
          <w:iCs/>
          <w:sz w:val="20"/>
          <w:lang w:eastAsia="en-AU"/>
        </w:rPr>
        <w:t>C, 5% solution)</w:t>
      </w:r>
      <w:r w:rsidRPr="00E8615F">
        <w:rPr>
          <w:rFonts w:cs="Arial"/>
          <w:iCs/>
          <w:sz w:val="20"/>
          <w:lang w:eastAsia="en-AU"/>
        </w:rPr>
        <w:t>—</w:t>
      </w:r>
      <w:r w:rsidRPr="00DC2375">
        <w:rPr>
          <w:rFonts w:cs="Arial"/>
          <w:iCs/>
          <w:sz w:val="20"/>
          <w:lang w:eastAsia="en-AU"/>
        </w:rPr>
        <w:t>3</w:t>
      </w:r>
      <w:r>
        <w:rPr>
          <w:rFonts w:cs="Arial"/>
          <w:iCs/>
          <w:sz w:val="20"/>
          <w:lang w:eastAsia="en-AU"/>
        </w:rPr>
        <w:t>.</w:t>
      </w:r>
      <w:r w:rsidRPr="00DC2375">
        <w:rPr>
          <w:rFonts w:cs="Arial"/>
          <w:iCs/>
          <w:sz w:val="20"/>
          <w:lang w:eastAsia="en-AU"/>
        </w:rPr>
        <w:t>0-7</w:t>
      </w:r>
      <w:r>
        <w:rPr>
          <w:rFonts w:cs="Arial"/>
          <w:iCs/>
          <w:sz w:val="20"/>
          <w:lang w:eastAsia="en-AU"/>
        </w:rPr>
        <w:t>.</w:t>
      </w:r>
      <w:r w:rsidRPr="00DC2375">
        <w:rPr>
          <w:rFonts w:cs="Arial"/>
          <w:iCs/>
          <w:sz w:val="20"/>
          <w:lang w:eastAsia="en-AU"/>
        </w:rPr>
        <w:t>5;</w:t>
      </w:r>
    </w:p>
    <w:p w14:paraId="5F199EDC" w14:textId="77777777" w:rsidR="0094343F" w:rsidRPr="00FA1DB3" w:rsidRDefault="0094343F" w:rsidP="009620D7">
      <w:pPr>
        <w:tabs>
          <w:tab w:val="left" w:pos="1701"/>
        </w:tabs>
        <w:spacing w:before="60" w:beforeAutospacing="0" w:after="60" w:afterAutospacing="0"/>
        <w:ind w:left="2268" w:hanging="2268"/>
        <w:rPr>
          <w:rFonts w:cs="Arial"/>
          <w:iCs/>
          <w:sz w:val="20"/>
          <w:lang w:eastAsia="en-AU"/>
        </w:rPr>
      </w:pPr>
      <w:r>
        <w:rPr>
          <w:rFonts w:cs="Arial"/>
          <w:iCs/>
          <w:sz w:val="20"/>
          <w:lang w:eastAsia="en-AU"/>
        </w:rPr>
        <w:tab/>
        <w:t>(m</w:t>
      </w:r>
      <w:r w:rsidRPr="00FA1DB3">
        <w:rPr>
          <w:rFonts w:cs="Arial"/>
          <w:iCs/>
          <w:sz w:val="20"/>
          <w:lang w:eastAsia="en-AU"/>
        </w:rPr>
        <w:t>)</w:t>
      </w:r>
      <w:r w:rsidRPr="00FA1DB3">
        <w:rPr>
          <w:rFonts w:cs="Arial"/>
          <w:iCs/>
          <w:sz w:val="20"/>
          <w:lang w:eastAsia="en-AU"/>
        </w:rPr>
        <w:tab/>
      </w:r>
      <w:r>
        <w:rPr>
          <w:rFonts w:cs="Arial"/>
          <w:iCs/>
          <w:sz w:val="20"/>
          <w:lang w:eastAsia="en-AU"/>
        </w:rPr>
        <w:t>water</w:t>
      </w:r>
      <w:r w:rsidRPr="00E8615F">
        <w:rPr>
          <w:rFonts w:cs="Arial"/>
          <w:iCs/>
          <w:sz w:val="20"/>
          <w:lang w:eastAsia="en-AU"/>
        </w:rPr>
        <w:t>—</w:t>
      </w:r>
      <w:r w:rsidRPr="00F01472">
        <w:rPr>
          <w:rFonts w:cs="Arial"/>
          <w:iCs/>
          <w:sz w:val="20"/>
          <w:lang w:eastAsia="en-AU"/>
        </w:rPr>
        <w:t xml:space="preserve">not more than </w:t>
      </w:r>
      <w:r w:rsidRPr="00DC2375">
        <w:rPr>
          <w:rFonts w:cs="Arial"/>
          <w:iCs/>
          <w:sz w:val="20"/>
          <w:lang w:eastAsia="en-AU"/>
        </w:rPr>
        <w:t>9</w:t>
      </w:r>
      <w:r>
        <w:rPr>
          <w:rFonts w:cs="Arial"/>
          <w:iCs/>
          <w:sz w:val="20"/>
          <w:lang w:eastAsia="en-AU"/>
        </w:rPr>
        <w:t>.</w:t>
      </w:r>
      <w:r w:rsidRPr="00DC2375">
        <w:rPr>
          <w:rFonts w:cs="Arial"/>
          <w:iCs/>
          <w:sz w:val="20"/>
          <w:lang w:eastAsia="en-AU"/>
        </w:rPr>
        <w:t>0%;</w:t>
      </w:r>
    </w:p>
    <w:p w14:paraId="74F04911" w14:textId="77777777" w:rsidR="0094343F" w:rsidRPr="00FA1DB3" w:rsidRDefault="0094343F" w:rsidP="009620D7">
      <w:pPr>
        <w:tabs>
          <w:tab w:val="left" w:pos="1701"/>
        </w:tabs>
        <w:spacing w:before="60" w:beforeAutospacing="0" w:after="60" w:afterAutospacing="0"/>
        <w:ind w:left="2268" w:hanging="2268"/>
        <w:rPr>
          <w:rFonts w:cs="Arial"/>
          <w:iCs/>
          <w:sz w:val="20"/>
          <w:lang w:eastAsia="en-AU"/>
        </w:rPr>
      </w:pPr>
      <w:r>
        <w:rPr>
          <w:rFonts w:cs="Arial"/>
          <w:iCs/>
          <w:sz w:val="20"/>
          <w:lang w:eastAsia="en-AU"/>
        </w:rPr>
        <w:tab/>
        <w:t>(n</w:t>
      </w:r>
      <w:r w:rsidRPr="00FA1DB3">
        <w:rPr>
          <w:rFonts w:cs="Arial"/>
          <w:iCs/>
          <w:sz w:val="20"/>
          <w:lang w:eastAsia="en-AU"/>
        </w:rPr>
        <w:t>)</w:t>
      </w:r>
      <w:r w:rsidRPr="00FA1DB3">
        <w:rPr>
          <w:rFonts w:cs="Arial"/>
          <w:iCs/>
          <w:sz w:val="20"/>
          <w:lang w:eastAsia="en-AU"/>
        </w:rPr>
        <w:tab/>
      </w:r>
      <w:r w:rsidRPr="00DC2375">
        <w:rPr>
          <w:rFonts w:cs="Arial"/>
          <w:iCs/>
          <w:sz w:val="20"/>
          <w:lang w:eastAsia="en-AU"/>
        </w:rPr>
        <w:t>ash</w:t>
      </w:r>
      <w:r>
        <w:rPr>
          <w:rFonts w:cs="Arial"/>
          <w:iCs/>
          <w:sz w:val="20"/>
          <w:lang w:eastAsia="en-AU"/>
        </w:rPr>
        <w:t>, s</w:t>
      </w:r>
      <w:r w:rsidRPr="00DC2375">
        <w:rPr>
          <w:rFonts w:cs="Arial"/>
          <w:iCs/>
          <w:sz w:val="20"/>
          <w:lang w:eastAsia="en-AU"/>
        </w:rPr>
        <w:t>ulphated</w:t>
      </w:r>
      <w:r w:rsidRPr="00E8615F">
        <w:rPr>
          <w:rFonts w:cs="Arial"/>
          <w:iCs/>
          <w:sz w:val="20"/>
          <w:lang w:eastAsia="en-AU"/>
        </w:rPr>
        <w:t>—</w:t>
      </w:r>
      <w:r w:rsidRPr="00F01472">
        <w:rPr>
          <w:rFonts w:cs="Arial"/>
          <w:iCs/>
          <w:sz w:val="20"/>
          <w:lang w:eastAsia="en-AU"/>
        </w:rPr>
        <w:t xml:space="preserve">not more than </w:t>
      </w:r>
      <w:r w:rsidRPr="00DC2375">
        <w:rPr>
          <w:rFonts w:cs="Arial"/>
          <w:iCs/>
          <w:sz w:val="20"/>
          <w:lang w:eastAsia="en-AU"/>
        </w:rPr>
        <w:t>2</w:t>
      </w:r>
      <w:r>
        <w:rPr>
          <w:rFonts w:cs="Arial"/>
          <w:iCs/>
          <w:sz w:val="20"/>
          <w:lang w:eastAsia="en-AU"/>
        </w:rPr>
        <w:t>.</w:t>
      </w:r>
      <w:r w:rsidRPr="00DC2375">
        <w:rPr>
          <w:rFonts w:cs="Arial"/>
          <w:iCs/>
          <w:sz w:val="20"/>
          <w:lang w:eastAsia="en-AU"/>
        </w:rPr>
        <w:t>0%</w:t>
      </w:r>
      <w:r>
        <w:rPr>
          <w:rFonts w:cs="Arial"/>
          <w:iCs/>
          <w:sz w:val="20"/>
          <w:lang w:eastAsia="en-AU"/>
        </w:rPr>
        <w:t>;</w:t>
      </w:r>
    </w:p>
    <w:p w14:paraId="413007A3" w14:textId="77777777" w:rsidR="0094343F" w:rsidRPr="00FA1DB3" w:rsidRDefault="0094343F" w:rsidP="009620D7">
      <w:pPr>
        <w:tabs>
          <w:tab w:val="left" w:pos="1701"/>
        </w:tabs>
        <w:spacing w:before="60" w:beforeAutospacing="0" w:after="60" w:afterAutospacing="0"/>
        <w:ind w:left="2268" w:hanging="2268"/>
        <w:rPr>
          <w:rFonts w:cs="Arial"/>
          <w:iCs/>
          <w:sz w:val="20"/>
          <w:lang w:eastAsia="en-AU"/>
        </w:rPr>
      </w:pPr>
      <w:r>
        <w:rPr>
          <w:rFonts w:cs="Arial"/>
          <w:iCs/>
          <w:sz w:val="20"/>
          <w:lang w:eastAsia="en-AU"/>
        </w:rPr>
        <w:tab/>
        <w:t>(o</w:t>
      </w:r>
      <w:r w:rsidRPr="00FA1DB3">
        <w:rPr>
          <w:rFonts w:cs="Arial"/>
          <w:iCs/>
          <w:sz w:val="20"/>
          <w:lang w:eastAsia="en-AU"/>
        </w:rPr>
        <w:t>)</w:t>
      </w:r>
      <w:r w:rsidRPr="00FA1DB3">
        <w:rPr>
          <w:rFonts w:cs="Arial"/>
          <w:iCs/>
          <w:sz w:val="20"/>
          <w:lang w:eastAsia="en-AU"/>
        </w:rPr>
        <w:tab/>
      </w:r>
      <w:r>
        <w:rPr>
          <w:rFonts w:cs="Arial"/>
          <w:iCs/>
          <w:sz w:val="20"/>
          <w:lang w:eastAsia="en-AU"/>
        </w:rPr>
        <w:t>a</w:t>
      </w:r>
      <w:r w:rsidRPr="00DC2375">
        <w:rPr>
          <w:rFonts w:cs="Arial"/>
          <w:iCs/>
          <w:sz w:val="20"/>
          <w:lang w:eastAsia="en-AU"/>
        </w:rPr>
        <w:t>cetic acid</w:t>
      </w:r>
      <w:r w:rsidRPr="00F01472">
        <w:rPr>
          <w:rFonts w:cs="Arial"/>
          <w:iCs/>
          <w:sz w:val="20"/>
          <w:lang w:eastAsia="en-AU"/>
        </w:rPr>
        <w:t>—not more than</w:t>
      </w:r>
      <w:r w:rsidRPr="00DC2375">
        <w:rPr>
          <w:rFonts w:cs="Arial"/>
          <w:iCs/>
          <w:sz w:val="20"/>
          <w:lang w:eastAsia="en-AU"/>
        </w:rPr>
        <w:t xml:space="preserve"> 1</w:t>
      </w:r>
      <w:r>
        <w:rPr>
          <w:rFonts w:cs="Arial"/>
          <w:iCs/>
          <w:sz w:val="20"/>
          <w:lang w:eastAsia="en-AU"/>
        </w:rPr>
        <w:t>.</w:t>
      </w:r>
      <w:r w:rsidRPr="00DC2375">
        <w:rPr>
          <w:rFonts w:cs="Arial"/>
          <w:iCs/>
          <w:sz w:val="20"/>
          <w:lang w:eastAsia="en-AU"/>
        </w:rPr>
        <w:t>0%;</w:t>
      </w:r>
    </w:p>
    <w:p w14:paraId="6AA1D8CC" w14:textId="77777777" w:rsidR="0094343F" w:rsidRPr="00FA1DB3" w:rsidRDefault="0094343F" w:rsidP="009620D7">
      <w:pPr>
        <w:tabs>
          <w:tab w:val="left" w:pos="1701"/>
        </w:tabs>
        <w:spacing w:before="60" w:beforeAutospacing="0" w:after="60" w:afterAutospacing="0"/>
        <w:ind w:left="2268" w:hanging="2268"/>
        <w:rPr>
          <w:rFonts w:cs="Arial"/>
          <w:iCs/>
          <w:sz w:val="20"/>
          <w:lang w:eastAsia="en-AU"/>
        </w:rPr>
      </w:pPr>
      <w:r w:rsidDel="00EB46ED">
        <w:rPr>
          <w:rFonts w:cs="Arial"/>
          <w:iCs/>
          <w:sz w:val="20"/>
          <w:lang w:eastAsia="en-AU"/>
        </w:rPr>
        <w:t xml:space="preserve"> </w:t>
      </w:r>
      <w:r>
        <w:rPr>
          <w:rFonts w:cs="Arial"/>
          <w:iCs/>
          <w:sz w:val="20"/>
          <w:lang w:eastAsia="en-AU"/>
        </w:rPr>
        <w:tab/>
        <w:t>(p</w:t>
      </w:r>
      <w:r w:rsidRPr="00FA1DB3">
        <w:rPr>
          <w:rFonts w:cs="Arial"/>
          <w:iCs/>
          <w:sz w:val="20"/>
          <w:lang w:eastAsia="en-AU"/>
        </w:rPr>
        <w:t>)</w:t>
      </w:r>
      <w:r w:rsidRPr="00FA1DB3">
        <w:rPr>
          <w:rFonts w:cs="Arial"/>
          <w:iCs/>
          <w:sz w:val="20"/>
          <w:lang w:eastAsia="en-AU"/>
        </w:rPr>
        <w:tab/>
      </w:r>
      <w:r>
        <w:rPr>
          <w:rFonts w:cs="Arial"/>
          <w:iCs/>
          <w:sz w:val="20"/>
          <w:lang w:eastAsia="en-AU"/>
        </w:rPr>
        <w:t>r</w:t>
      </w:r>
      <w:r w:rsidRPr="00DC2375">
        <w:rPr>
          <w:rFonts w:cs="Arial"/>
          <w:iCs/>
          <w:sz w:val="20"/>
          <w:lang w:eastAsia="en-AU"/>
        </w:rPr>
        <w:t>esidual proteins</w:t>
      </w:r>
      <w:r w:rsidRPr="00F01472">
        <w:rPr>
          <w:rFonts w:cs="Arial"/>
          <w:iCs/>
          <w:sz w:val="20"/>
          <w:lang w:eastAsia="en-AU"/>
        </w:rPr>
        <w:t>—</w:t>
      </w:r>
      <w:r w:rsidRPr="00FA1DB3">
        <w:rPr>
          <w:rFonts w:cs="Arial"/>
          <w:iCs/>
          <w:sz w:val="20"/>
          <w:lang w:eastAsia="en-AU"/>
        </w:rPr>
        <w:t>not more than</w:t>
      </w:r>
      <w:r w:rsidRPr="00DC2375">
        <w:rPr>
          <w:rFonts w:cs="Arial"/>
          <w:iCs/>
          <w:sz w:val="20"/>
          <w:lang w:eastAsia="en-AU"/>
        </w:rPr>
        <w:t xml:space="preserve"> 0</w:t>
      </w:r>
      <w:r>
        <w:rPr>
          <w:rFonts w:cs="Arial"/>
          <w:iCs/>
          <w:sz w:val="20"/>
          <w:lang w:eastAsia="en-AU"/>
        </w:rPr>
        <w:t>.</w:t>
      </w:r>
      <w:r w:rsidRPr="00DC2375">
        <w:rPr>
          <w:rFonts w:cs="Arial"/>
          <w:iCs/>
          <w:sz w:val="20"/>
          <w:lang w:eastAsia="en-AU"/>
        </w:rPr>
        <w:t>01%;</w:t>
      </w:r>
    </w:p>
    <w:p w14:paraId="5E06E91E" w14:textId="77777777" w:rsidR="0094343F" w:rsidRPr="00FA1DB3" w:rsidRDefault="0094343F" w:rsidP="009620D7">
      <w:pPr>
        <w:tabs>
          <w:tab w:val="left" w:pos="1701"/>
        </w:tabs>
        <w:spacing w:before="60" w:beforeAutospacing="0" w:after="60" w:afterAutospacing="0"/>
        <w:ind w:left="2268" w:hanging="2268"/>
        <w:rPr>
          <w:rFonts w:cs="Arial"/>
          <w:iCs/>
          <w:sz w:val="20"/>
          <w:lang w:eastAsia="en-AU"/>
        </w:rPr>
      </w:pPr>
      <w:r>
        <w:rPr>
          <w:rFonts w:cs="Arial"/>
          <w:iCs/>
          <w:sz w:val="20"/>
          <w:lang w:eastAsia="en-AU"/>
        </w:rPr>
        <w:tab/>
      </w:r>
      <w:r w:rsidRPr="00FA1DB3">
        <w:rPr>
          <w:rFonts w:cs="Arial"/>
          <w:iCs/>
          <w:sz w:val="20"/>
          <w:lang w:eastAsia="en-AU"/>
        </w:rPr>
        <w:t>(</w:t>
      </w:r>
      <w:r>
        <w:rPr>
          <w:rFonts w:cs="Arial"/>
          <w:iCs/>
          <w:sz w:val="20"/>
          <w:lang w:eastAsia="en-AU"/>
        </w:rPr>
        <w:t>q</w:t>
      </w:r>
      <w:r w:rsidRPr="00FA1DB3">
        <w:rPr>
          <w:rFonts w:cs="Arial"/>
          <w:iCs/>
          <w:sz w:val="20"/>
          <w:lang w:eastAsia="en-AU"/>
        </w:rPr>
        <w:t>)</w:t>
      </w:r>
      <w:r w:rsidRPr="00FA1DB3">
        <w:rPr>
          <w:rFonts w:cs="Arial"/>
          <w:iCs/>
          <w:sz w:val="20"/>
          <w:lang w:eastAsia="en-AU"/>
        </w:rPr>
        <w:tab/>
        <w:t>microbiological:</w:t>
      </w:r>
    </w:p>
    <w:p w14:paraId="4A2A0A07" w14:textId="77777777" w:rsidR="0094343F" w:rsidRPr="00FA1DB3" w:rsidRDefault="0094343F" w:rsidP="003438F7">
      <w:pPr>
        <w:numPr>
          <w:ilvl w:val="0"/>
          <w:numId w:val="9"/>
        </w:numPr>
        <w:tabs>
          <w:tab w:val="left" w:pos="851"/>
          <w:tab w:val="left" w:pos="2268"/>
          <w:tab w:val="left" w:pos="2835"/>
        </w:tabs>
        <w:spacing w:before="60" w:beforeAutospacing="0" w:after="60" w:afterAutospacing="0"/>
        <w:ind w:left="2268" w:firstLine="0"/>
        <w:rPr>
          <w:rFonts w:cs="Arial"/>
          <w:iCs/>
          <w:sz w:val="20"/>
          <w:szCs w:val="22"/>
          <w:lang w:eastAsia="en-AU"/>
        </w:rPr>
      </w:pPr>
      <w:r>
        <w:rPr>
          <w:rFonts w:cs="Arial"/>
          <w:iCs/>
          <w:sz w:val="20"/>
          <w:lang w:eastAsia="en-AU"/>
        </w:rPr>
        <w:t>a</w:t>
      </w:r>
      <w:r w:rsidRPr="00FA1DB3">
        <w:rPr>
          <w:rFonts w:cs="Arial"/>
          <w:iCs/>
          <w:sz w:val="20"/>
          <w:lang w:eastAsia="en-AU"/>
        </w:rPr>
        <w:t xml:space="preserve">erobic mesophilic bacteria total count—not more than 3,000 </w:t>
      </w:r>
      <w:r>
        <w:rPr>
          <w:rFonts w:cs="Arial"/>
          <w:iCs/>
          <w:sz w:val="20"/>
          <w:lang w:eastAsia="en-AU"/>
        </w:rPr>
        <w:t>cfu</w:t>
      </w:r>
      <w:r w:rsidRPr="00FA1DB3">
        <w:rPr>
          <w:rFonts w:cs="Arial"/>
          <w:iCs/>
          <w:sz w:val="20"/>
          <w:lang w:eastAsia="en-AU"/>
        </w:rPr>
        <w:t>/g</w:t>
      </w:r>
      <w:r>
        <w:rPr>
          <w:rFonts w:cs="Arial"/>
          <w:iCs/>
          <w:sz w:val="20"/>
          <w:lang w:eastAsia="en-AU"/>
        </w:rPr>
        <w:t>;</w:t>
      </w:r>
      <w:r w:rsidRPr="00FA1DB3">
        <w:rPr>
          <w:rFonts w:cs="Arial"/>
          <w:iCs/>
          <w:sz w:val="20"/>
          <w:szCs w:val="22"/>
          <w:lang w:eastAsia="en-AU"/>
        </w:rPr>
        <w:t xml:space="preserve"> </w:t>
      </w:r>
    </w:p>
    <w:p w14:paraId="49CF781F" w14:textId="77777777" w:rsidR="0094343F" w:rsidRPr="00FA1DB3" w:rsidRDefault="0094343F" w:rsidP="003438F7">
      <w:pPr>
        <w:numPr>
          <w:ilvl w:val="0"/>
          <w:numId w:val="9"/>
        </w:numPr>
        <w:tabs>
          <w:tab w:val="left" w:pos="851"/>
          <w:tab w:val="left" w:pos="2268"/>
          <w:tab w:val="left" w:pos="2835"/>
        </w:tabs>
        <w:spacing w:before="60" w:beforeAutospacing="0" w:after="60" w:afterAutospacing="0"/>
        <w:ind w:left="2268" w:firstLine="0"/>
        <w:rPr>
          <w:rFonts w:cs="Arial"/>
          <w:iCs/>
          <w:sz w:val="20"/>
          <w:szCs w:val="22"/>
          <w:lang w:eastAsia="en-AU"/>
        </w:rPr>
      </w:pPr>
      <w:r>
        <w:rPr>
          <w:rFonts w:cs="Arial"/>
          <w:iCs/>
          <w:sz w:val="20"/>
          <w:lang w:eastAsia="en-AU"/>
        </w:rPr>
        <w:t>y</w:t>
      </w:r>
      <w:r w:rsidRPr="00FA1DB3">
        <w:rPr>
          <w:rFonts w:cs="Arial"/>
          <w:iCs/>
          <w:sz w:val="20"/>
          <w:lang w:eastAsia="en-AU"/>
        </w:rPr>
        <w:t>easts—not more than 10</w:t>
      </w:r>
      <w:r>
        <w:rPr>
          <w:rFonts w:cs="Arial"/>
          <w:iCs/>
          <w:sz w:val="20"/>
          <w:lang w:eastAsia="en-AU"/>
        </w:rPr>
        <w:t>0</w:t>
      </w:r>
      <w:r w:rsidRPr="00FA1DB3">
        <w:rPr>
          <w:rFonts w:cs="Arial"/>
          <w:iCs/>
          <w:sz w:val="20"/>
          <w:lang w:eastAsia="en-AU"/>
        </w:rPr>
        <w:t xml:space="preserve"> </w:t>
      </w:r>
      <w:r>
        <w:rPr>
          <w:rFonts w:cs="Arial"/>
          <w:iCs/>
          <w:sz w:val="20"/>
          <w:lang w:eastAsia="en-AU"/>
        </w:rPr>
        <w:t>cfu</w:t>
      </w:r>
      <w:r w:rsidRPr="00FA1DB3">
        <w:rPr>
          <w:rFonts w:cs="Arial"/>
          <w:iCs/>
          <w:sz w:val="20"/>
          <w:lang w:eastAsia="en-AU"/>
        </w:rPr>
        <w:t>/</w:t>
      </w:r>
      <w:r w:rsidRPr="00FA1DB3">
        <w:rPr>
          <w:rFonts w:cs="Arial"/>
          <w:iCs/>
          <w:sz w:val="20"/>
          <w:szCs w:val="22"/>
          <w:lang w:eastAsia="en-AU"/>
        </w:rPr>
        <w:t>g</w:t>
      </w:r>
      <w:r>
        <w:rPr>
          <w:rFonts w:cs="Arial"/>
          <w:iCs/>
          <w:sz w:val="20"/>
          <w:szCs w:val="22"/>
          <w:lang w:eastAsia="en-AU"/>
        </w:rPr>
        <w:t>;</w:t>
      </w:r>
    </w:p>
    <w:p w14:paraId="37402557" w14:textId="77777777" w:rsidR="0094343F" w:rsidRPr="00FA1DB3" w:rsidRDefault="0094343F" w:rsidP="003438F7">
      <w:pPr>
        <w:numPr>
          <w:ilvl w:val="0"/>
          <w:numId w:val="9"/>
        </w:numPr>
        <w:tabs>
          <w:tab w:val="left" w:pos="851"/>
          <w:tab w:val="left" w:pos="2268"/>
          <w:tab w:val="left" w:pos="2835"/>
        </w:tabs>
        <w:spacing w:before="60" w:beforeAutospacing="0" w:after="60" w:afterAutospacing="0"/>
        <w:ind w:left="2268" w:firstLine="0"/>
        <w:rPr>
          <w:rFonts w:cs="Arial"/>
          <w:iCs/>
          <w:sz w:val="20"/>
          <w:szCs w:val="22"/>
          <w:lang w:eastAsia="en-AU"/>
        </w:rPr>
      </w:pPr>
      <w:r>
        <w:rPr>
          <w:rFonts w:cs="Arial"/>
          <w:iCs/>
          <w:sz w:val="20"/>
          <w:lang w:eastAsia="en-AU"/>
        </w:rPr>
        <w:t>m</w:t>
      </w:r>
      <w:r w:rsidRPr="00FA1DB3">
        <w:rPr>
          <w:rFonts w:cs="Arial"/>
          <w:iCs/>
          <w:sz w:val="20"/>
          <w:lang w:eastAsia="en-AU"/>
        </w:rPr>
        <w:t>oulds—not more than 10</w:t>
      </w:r>
      <w:r>
        <w:rPr>
          <w:rFonts w:cs="Arial"/>
          <w:iCs/>
          <w:sz w:val="20"/>
          <w:lang w:eastAsia="en-AU"/>
        </w:rPr>
        <w:t>0</w:t>
      </w:r>
      <w:r w:rsidRPr="00FA1DB3">
        <w:rPr>
          <w:rFonts w:cs="Arial"/>
          <w:iCs/>
          <w:sz w:val="20"/>
          <w:lang w:eastAsia="en-AU"/>
        </w:rPr>
        <w:t xml:space="preserve"> </w:t>
      </w:r>
      <w:r>
        <w:rPr>
          <w:rFonts w:cs="Arial"/>
          <w:iCs/>
          <w:sz w:val="20"/>
          <w:lang w:eastAsia="en-AU"/>
        </w:rPr>
        <w:t>cfu</w:t>
      </w:r>
      <w:r w:rsidRPr="00FA1DB3">
        <w:rPr>
          <w:rFonts w:cs="Arial"/>
          <w:iCs/>
          <w:sz w:val="20"/>
          <w:lang w:eastAsia="en-AU"/>
        </w:rPr>
        <w:t>/g</w:t>
      </w:r>
      <w:r>
        <w:rPr>
          <w:rFonts w:cs="Arial"/>
          <w:iCs/>
          <w:sz w:val="20"/>
          <w:lang w:eastAsia="en-AU"/>
        </w:rPr>
        <w:t>;</w:t>
      </w:r>
    </w:p>
    <w:p w14:paraId="32E5398C" w14:textId="77777777" w:rsidR="0094343F" w:rsidRPr="00FA1DB3" w:rsidRDefault="0094343F" w:rsidP="003438F7">
      <w:pPr>
        <w:numPr>
          <w:ilvl w:val="0"/>
          <w:numId w:val="9"/>
        </w:numPr>
        <w:tabs>
          <w:tab w:val="left" w:pos="851"/>
          <w:tab w:val="left" w:pos="2268"/>
          <w:tab w:val="left" w:pos="2835"/>
        </w:tabs>
        <w:spacing w:before="60" w:beforeAutospacing="0" w:after="60" w:afterAutospacing="0"/>
        <w:ind w:left="2268" w:firstLine="0"/>
        <w:rPr>
          <w:rFonts w:cs="Arial"/>
          <w:iCs/>
          <w:sz w:val="20"/>
          <w:szCs w:val="22"/>
          <w:lang w:eastAsia="en-AU"/>
        </w:rPr>
      </w:pPr>
      <w:r>
        <w:rPr>
          <w:rFonts w:cs="Arial"/>
          <w:iCs/>
          <w:sz w:val="20"/>
          <w:lang w:eastAsia="en-AU"/>
        </w:rPr>
        <w:t>endotoxins</w:t>
      </w:r>
      <w:r w:rsidRPr="00FA1DB3">
        <w:rPr>
          <w:rFonts w:cs="Arial"/>
          <w:iCs/>
          <w:sz w:val="20"/>
          <w:lang w:eastAsia="en-AU"/>
        </w:rPr>
        <w:t>—</w:t>
      </w:r>
      <w:r>
        <w:rPr>
          <w:rFonts w:cs="Arial"/>
          <w:iCs/>
          <w:sz w:val="20"/>
          <w:lang w:eastAsia="en-AU"/>
        </w:rPr>
        <w:t>not more than 10 EU/mg.</w:t>
      </w:r>
    </w:p>
    <w:p w14:paraId="1EDD7984" w14:textId="77777777" w:rsidR="0094343F" w:rsidRDefault="0094343F" w:rsidP="009620D7">
      <w:pPr>
        <w:pStyle w:val="FSCDraftingitem"/>
        <w:spacing w:beforeAutospacing="0" w:afterAutospacing="0"/>
      </w:pPr>
    </w:p>
    <w:p w14:paraId="318B85A3" w14:textId="77777777" w:rsidR="0094343F" w:rsidRDefault="0094343F" w:rsidP="009620D7">
      <w:pPr>
        <w:pStyle w:val="FSCDraftingitem"/>
        <w:spacing w:beforeAutospacing="0" w:afterAutospacing="0"/>
        <w:rPr>
          <w:lang w:bidi="en-US"/>
        </w:rPr>
      </w:pPr>
      <w:r>
        <w:rPr>
          <w:b/>
          <w:lang w:bidi="en-US"/>
        </w:rPr>
        <w:t>[2]</w:t>
      </w:r>
      <w:r>
        <w:rPr>
          <w:b/>
          <w:lang w:bidi="en-US"/>
        </w:rPr>
        <w:tab/>
      </w:r>
      <w:r w:rsidRPr="00153BDC">
        <w:rPr>
          <w:b/>
          <w:lang w:bidi="en-US"/>
        </w:rPr>
        <w:t xml:space="preserve">Schedule </w:t>
      </w:r>
      <w:r>
        <w:rPr>
          <w:b/>
          <w:lang w:bidi="en-US"/>
        </w:rPr>
        <w:t>26—Food produced using gene technology</w:t>
      </w:r>
      <w:r w:rsidRPr="00360C8F">
        <w:rPr>
          <w:lang w:bidi="en-US"/>
        </w:rPr>
        <w:t xml:space="preserve"> </w:t>
      </w:r>
    </w:p>
    <w:p w14:paraId="50927908" w14:textId="77777777" w:rsidR="0094343F" w:rsidRPr="0048041D" w:rsidRDefault="0094343F" w:rsidP="009620D7">
      <w:pPr>
        <w:pStyle w:val="FSCDraftingitem"/>
        <w:spacing w:beforeAutospacing="0" w:afterAutospacing="0"/>
        <w:rPr>
          <w:b/>
        </w:rPr>
      </w:pPr>
      <w:r>
        <w:rPr>
          <w:b/>
          <w:lang w:bidi="en-US"/>
        </w:rPr>
        <w:t>[2.1</w:t>
      </w:r>
      <w:r w:rsidRPr="0048041D">
        <w:rPr>
          <w:b/>
          <w:lang w:bidi="en-US"/>
        </w:rPr>
        <w:t>]</w:t>
      </w:r>
      <w:r>
        <w:rPr>
          <w:lang w:bidi="en-US"/>
        </w:rPr>
        <w:tab/>
      </w:r>
      <w:r w:rsidRPr="0048041D">
        <w:rPr>
          <w:b/>
        </w:rPr>
        <w:t>S</w:t>
      </w:r>
      <w:r>
        <w:rPr>
          <w:b/>
        </w:rPr>
        <w:t>ubsection S26</w:t>
      </w:r>
      <w:r w:rsidRPr="0048041D">
        <w:rPr>
          <w:b/>
        </w:rPr>
        <w:t>—</w:t>
      </w:r>
      <w:r>
        <w:rPr>
          <w:b/>
        </w:rPr>
        <w:t>3(7</w:t>
      </w:r>
      <w:r w:rsidRPr="0048041D">
        <w:rPr>
          <w:b/>
        </w:rPr>
        <w:t>) (table</w:t>
      </w:r>
      <w:r>
        <w:rPr>
          <w:b/>
        </w:rPr>
        <w:t xml:space="preserve"> item 1</w:t>
      </w:r>
      <w:r w:rsidRPr="0048041D">
        <w:rPr>
          <w:b/>
        </w:rPr>
        <w:t>)</w:t>
      </w:r>
    </w:p>
    <w:p w14:paraId="1E3A184D" w14:textId="77777777" w:rsidR="0094343F" w:rsidRDefault="0094343F" w:rsidP="009620D7">
      <w:pPr>
        <w:pStyle w:val="FSCDraftingitem"/>
        <w:spacing w:beforeAutospacing="0" w:afterAutospacing="0"/>
      </w:pPr>
      <w:r>
        <w:tab/>
        <w:t>Repeal the item, substitute:</w:t>
      </w:r>
    </w:p>
    <w:tbl>
      <w:tblPr>
        <w:tblW w:w="9356" w:type="dxa"/>
        <w:tblLayout w:type="fixed"/>
        <w:tblCellMar>
          <w:left w:w="0" w:type="dxa"/>
          <w:right w:w="0" w:type="dxa"/>
        </w:tblCellMar>
        <w:tblLook w:val="04A0" w:firstRow="1" w:lastRow="0" w:firstColumn="1" w:lastColumn="0" w:noHBand="0" w:noVBand="1"/>
      </w:tblPr>
      <w:tblGrid>
        <w:gridCol w:w="284"/>
        <w:gridCol w:w="2126"/>
        <w:gridCol w:w="2693"/>
        <w:gridCol w:w="993"/>
        <w:gridCol w:w="3260"/>
      </w:tblGrid>
      <w:tr w:rsidR="0094343F" w14:paraId="77AB5250" w14:textId="77777777" w:rsidTr="0094343F">
        <w:trPr>
          <w:cantSplit/>
          <w:trHeight w:val="329"/>
        </w:trPr>
        <w:tc>
          <w:tcPr>
            <w:tcW w:w="284" w:type="dxa"/>
            <w:tcBorders>
              <w:top w:val="nil"/>
              <w:left w:val="nil"/>
              <w:right w:val="nil"/>
            </w:tcBorders>
            <w:tcMar>
              <w:top w:w="0" w:type="dxa"/>
              <w:left w:w="108" w:type="dxa"/>
              <w:bottom w:w="0" w:type="dxa"/>
              <w:right w:w="108" w:type="dxa"/>
            </w:tcMar>
            <w:hideMark/>
          </w:tcPr>
          <w:p w14:paraId="35C30722" w14:textId="77777777" w:rsidR="0094343F" w:rsidRPr="00D66D5C" w:rsidRDefault="0094343F" w:rsidP="009620D7">
            <w:pPr>
              <w:pStyle w:val="FSCtblMain"/>
              <w:spacing w:before="0" w:beforeAutospacing="0" w:after="0" w:afterAutospacing="0"/>
              <w:rPr>
                <w:b/>
              </w:rPr>
            </w:pPr>
            <w:r w:rsidRPr="00D66D5C">
              <w:rPr>
                <w:b/>
              </w:rPr>
              <w:t>1</w:t>
            </w:r>
          </w:p>
        </w:tc>
        <w:tc>
          <w:tcPr>
            <w:tcW w:w="2126" w:type="dxa"/>
            <w:tcBorders>
              <w:top w:val="nil"/>
              <w:left w:val="nil"/>
              <w:right w:val="nil"/>
            </w:tcBorders>
            <w:tcMar>
              <w:top w:w="0" w:type="dxa"/>
              <w:left w:w="108" w:type="dxa"/>
              <w:bottom w:w="0" w:type="dxa"/>
              <w:right w:w="108" w:type="dxa"/>
            </w:tcMar>
            <w:hideMark/>
          </w:tcPr>
          <w:p w14:paraId="15F56FEE" w14:textId="77777777" w:rsidR="0094343F" w:rsidRPr="00D66D5C" w:rsidRDefault="0094343F" w:rsidP="009620D7">
            <w:pPr>
              <w:pStyle w:val="FSCtblMain"/>
              <w:spacing w:before="0" w:beforeAutospacing="0" w:after="0" w:afterAutospacing="0"/>
              <w:rPr>
                <w:b/>
              </w:rPr>
            </w:pPr>
            <w:r w:rsidRPr="00D66D5C">
              <w:rPr>
                <w:b/>
              </w:rPr>
              <w:t>2′-fucosyllactose</w:t>
            </w:r>
          </w:p>
        </w:tc>
        <w:tc>
          <w:tcPr>
            <w:tcW w:w="2693" w:type="dxa"/>
            <w:tcBorders>
              <w:top w:val="nil"/>
              <w:left w:val="nil"/>
              <w:right w:val="nil"/>
            </w:tcBorders>
            <w:hideMark/>
          </w:tcPr>
          <w:p w14:paraId="03D3C95E" w14:textId="77777777" w:rsidR="0094343F" w:rsidRDefault="0094343F" w:rsidP="009620D7">
            <w:pPr>
              <w:pStyle w:val="FSCtblPara"/>
              <w:numPr>
                <w:ilvl w:val="0"/>
                <w:numId w:val="22"/>
              </w:numPr>
              <w:spacing w:beforeAutospacing="0" w:afterAutospacing="0"/>
              <w:ind w:left="714" w:hanging="357"/>
            </w:pPr>
            <w:r>
              <w:rPr>
                <w:i/>
              </w:rPr>
              <w:t>Escherichia coli</w:t>
            </w:r>
            <w:r>
              <w:t xml:space="preserve"> K-12 containing the gene for alpha-1,2-fucosyltransferase from </w:t>
            </w:r>
            <w:r>
              <w:rPr>
                <w:i/>
              </w:rPr>
              <w:t>Helicobacter pylori</w:t>
            </w:r>
          </w:p>
        </w:tc>
        <w:tc>
          <w:tcPr>
            <w:tcW w:w="993" w:type="dxa"/>
            <w:tcBorders>
              <w:top w:val="nil"/>
              <w:left w:val="nil"/>
              <w:right w:val="nil"/>
            </w:tcBorders>
            <w:tcMar>
              <w:top w:w="0" w:type="dxa"/>
              <w:left w:w="108" w:type="dxa"/>
              <w:bottom w:w="0" w:type="dxa"/>
              <w:right w:w="108" w:type="dxa"/>
            </w:tcMar>
            <w:hideMark/>
          </w:tcPr>
          <w:p w14:paraId="6EE0CEB2" w14:textId="77777777" w:rsidR="0094343F" w:rsidRDefault="0094343F" w:rsidP="009620D7">
            <w:pPr>
              <w:spacing w:before="0" w:beforeAutospacing="0" w:after="0" w:afterAutospacing="0"/>
              <w:rPr>
                <w:rFonts w:cs="Arial"/>
                <w:sz w:val="18"/>
                <w:szCs w:val="18"/>
                <w:lang w:eastAsia="en-GB"/>
              </w:rPr>
            </w:pPr>
          </w:p>
        </w:tc>
        <w:tc>
          <w:tcPr>
            <w:tcW w:w="3260" w:type="dxa"/>
            <w:tcBorders>
              <w:top w:val="nil"/>
              <w:left w:val="nil"/>
              <w:right w:val="nil"/>
            </w:tcBorders>
            <w:hideMark/>
          </w:tcPr>
          <w:p w14:paraId="416681AB" w14:textId="77777777" w:rsidR="0094343F" w:rsidRDefault="0094343F" w:rsidP="009620D7">
            <w:pPr>
              <w:pStyle w:val="FSCtblMain"/>
              <w:numPr>
                <w:ilvl w:val="0"/>
                <w:numId w:val="23"/>
              </w:numPr>
              <w:spacing w:beforeAutospacing="0" w:afterAutospacing="0"/>
              <w:ind w:left="714" w:hanging="357"/>
              <w:rPr>
                <w:lang w:eastAsia="en-GB" w:bidi="en-US"/>
              </w:rPr>
            </w:pPr>
            <w:r>
              <w:t>May only be added to infant formula products.</w:t>
            </w:r>
          </w:p>
          <w:p w14:paraId="14895278" w14:textId="77777777" w:rsidR="0094343F" w:rsidRDefault="0094343F" w:rsidP="009620D7">
            <w:pPr>
              <w:pStyle w:val="FSCtblPara"/>
              <w:numPr>
                <w:ilvl w:val="0"/>
                <w:numId w:val="23"/>
              </w:numPr>
              <w:spacing w:beforeAutospacing="0" w:afterAutospacing="0"/>
              <w:ind w:left="714" w:hanging="357"/>
              <w:rPr>
                <w:lang w:eastAsia="en-GB"/>
              </w:rPr>
            </w:pPr>
            <w:r>
              <w:rPr>
                <w:lang w:eastAsia="en-GB"/>
              </w:rPr>
              <w:t xml:space="preserve">During the </w:t>
            </w:r>
            <w:r>
              <w:t>exclusive use period, may only be sold under the brand GlyCare.</w:t>
            </w:r>
          </w:p>
          <w:p w14:paraId="732D74CC" w14:textId="77777777" w:rsidR="0094343F" w:rsidRPr="00D66D5C" w:rsidRDefault="0094343F" w:rsidP="009620D7">
            <w:pPr>
              <w:pStyle w:val="FSCtblPara"/>
              <w:numPr>
                <w:ilvl w:val="0"/>
                <w:numId w:val="23"/>
              </w:numPr>
              <w:spacing w:beforeAutospacing="0" w:afterAutospacing="0"/>
              <w:ind w:left="714" w:hanging="357"/>
              <w:rPr>
                <w:lang w:eastAsia="en-GB"/>
              </w:rPr>
            </w:pPr>
            <w:r>
              <w:t xml:space="preserve">For the purposes of condition 2 above, </w:t>
            </w:r>
            <w:r>
              <w:rPr>
                <w:b/>
              </w:rPr>
              <w:t>exclusive use period</w:t>
            </w:r>
            <w:r>
              <w:t xml:space="preserve"> means the period commencing on the date of gazettal of the </w:t>
            </w:r>
            <w:r>
              <w:rPr>
                <w:i/>
              </w:rPr>
              <w:t>Food Standards (Application A1155 – 2′-FL and LNnT in infant formula and other products) Variation</w:t>
            </w:r>
            <w:r>
              <w:t xml:space="preserve"> and ending 15 months after that date.</w:t>
            </w:r>
          </w:p>
          <w:p w14:paraId="31E6A095" w14:textId="77777777" w:rsidR="0094343F" w:rsidRDefault="0094343F" w:rsidP="009620D7">
            <w:pPr>
              <w:pStyle w:val="ListParagraph"/>
              <w:widowControl/>
              <w:spacing w:before="0" w:beforeAutospacing="0" w:after="0" w:afterAutospacing="0"/>
              <w:ind w:left="305" w:right="36"/>
              <w:rPr>
                <w:rFonts w:cs="Arial"/>
                <w:sz w:val="18"/>
                <w:szCs w:val="18"/>
                <w:lang w:eastAsia="en-GB"/>
              </w:rPr>
            </w:pPr>
          </w:p>
        </w:tc>
      </w:tr>
      <w:tr w:rsidR="0094343F" w:rsidRPr="0034428B" w14:paraId="55B663F3" w14:textId="77777777" w:rsidTr="0094343F">
        <w:trPr>
          <w:cantSplit/>
          <w:trHeight w:val="329"/>
        </w:trPr>
        <w:tc>
          <w:tcPr>
            <w:tcW w:w="284" w:type="dxa"/>
            <w:tcBorders>
              <w:top w:val="nil"/>
              <w:left w:val="nil"/>
              <w:bottom w:val="nil"/>
              <w:right w:val="nil"/>
            </w:tcBorders>
            <w:tcMar>
              <w:top w:w="0" w:type="dxa"/>
              <w:left w:w="108" w:type="dxa"/>
              <w:bottom w:w="0" w:type="dxa"/>
              <w:right w:w="108" w:type="dxa"/>
            </w:tcMar>
          </w:tcPr>
          <w:p w14:paraId="0281AD45" w14:textId="77777777" w:rsidR="0094343F" w:rsidRPr="0034428B" w:rsidRDefault="0094343F" w:rsidP="009620D7">
            <w:pPr>
              <w:spacing w:before="0" w:beforeAutospacing="0" w:after="0" w:afterAutospacing="0"/>
              <w:rPr>
                <w:rFonts w:cs="Arial"/>
                <w:b/>
                <w:bCs/>
                <w:sz w:val="18"/>
                <w:szCs w:val="18"/>
                <w:lang w:eastAsia="en-GB"/>
              </w:rPr>
            </w:pPr>
          </w:p>
        </w:tc>
        <w:tc>
          <w:tcPr>
            <w:tcW w:w="2126" w:type="dxa"/>
            <w:tcBorders>
              <w:top w:val="nil"/>
              <w:left w:val="nil"/>
              <w:bottom w:val="nil"/>
              <w:right w:val="nil"/>
            </w:tcBorders>
            <w:tcMar>
              <w:top w:w="0" w:type="dxa"/>
              <w:left w:w="108" w:type="dxa"/>
              <w:bottom w:w="0" w:type="dxa"/>
              <w:right w:w="108" w:type="dxa"/>
            </w:tcMar>
          </w:tcPr>
          <w:p w14:paraId="43E0DA40" w14:textId="77777777" w:rsidR="0094343F" w:rsidRPr="0034428B" w:rsidRDefault="0094343F" w:rsidP="009620D7">
            <w:pPr>
              <w:spacing w:before="0" w:beforeAutospacing="0" w:after="0" w:afterAutospacing="0"/>
              <w:rPr>
                <w:rFonts w:cs="Arial"/>
                <w:b/>
                <w:bCs/>
                <w:sz w:val="18"/>
                <w:szCs w:val="18"/>
                <w:lang w:eastAsia="en-GB"/>
              </w:rPr>
            </w:pPr>
          </w:p>
        </w:tc>
        <w:tc>
          <w:tcPr>
            <w:tcW w:w="2693" w:type="dxa"/>
            <w:tcBorders>
              <w:top w:val="nil"/>
              <w:left w:val="nil"/>
              <w:bottom w:val="nil"/>
              <w:right w:val="nil"/>
            </w:tcBorders>
          </w:tcPr>
          <w:p w14:paraId="2421AD35" w14:textId="77777777" w:rsidR="0094343F" w:rsidRPr="0034428B" w:rsidRDefault="0094343F" w:rsidP="009620D7">
            <w:pPr>
              <w:pStyle w:val="FSCtblPara"/>
              <w:numPr>
                <w:ilvl w:val="0"/>
                <w:numId w:val="24"/>
              </w:numPr>
              <w:spacing w:beforeAutospacing="0" w:afterAutospacing="0"/>
              <w:ind w:left="714" w:hanging="357"/>
              <w:rPr>
                <w:i/>
                <w:lang w:eastAsia="en-GB"/>
              </w:rPr>
            </w:pPr>
            <w:r w:rsidRPr="0034428B">
              <w:rPr>
                <w:i/>
                <w:lang w:bidi="en-US"/>
              </w:rPr>
              <w:t>Escherichia coli</w:t>
            </w:r>
            <w:r w:rsidRPr="0034428B">
              <w:rPr>
                <w:lang w:bidi="en-US"/>
              </w:rPr>
              <w:t xml:space="preserve"> BL21 containing the gene for alpha-1,2-fucosyltransferase from </w:t>
            </w:r>
            <w:r w:rsidRPr="0034428B">
              <w:rPr>
                <w:i/>
                <w:lang w:bidi="en-US"/>
              </w:rPr>
              <w:t>Escherichia coli</w:t>
            </w:r>
            <w:r w:rsidRPr="0034428B">
              <w:rPr>
                <w:lang w:bidi="en-US"/>
              </w:rPr>
              <w:t xml:space="preserve"> O126</w:t>
            </w:r>
          </w:p>
        </w:tc>
        <w:tc>
          <w:tcPr>
            <w:tcW w:w="993" w:type="dxa"/>
            <w:tcBorders>
              <w:top w:val="nil"/>
              <w:left w:val="nil"/>
              <w:bottom w:val="nil"/>
              <w:right w:val="nil"/>
            </w:tcBorders>
            <w:tcMar>
              <w:top w:w="0" w:type="dxa"/>
              <w:left w:w="108" w:type="dxa"/>
              <w:bottom w:w="0" w:type="dxa"/>
              <w:right w:w="108" w:type="dxa"/>
            </w:tcMar>
          </w:tcPr>
          <w:p w14:paraId="3AFEA092" w14:textId="77777777" w:rsidR="0094343F" w:rsidRPr="0034428B" w:rsidRDefault="0094343F" w:rsidP="009620D7">
            <w:pPr>
              <w:spacing w:before="0" w:beforeAutospacing="0" w:after="0" w:afterAutospacing="0"/>
              <w:rPr>
                <w:rFonts w:cs="Arial"/>
                <w:sz w:val="18"/>
                <w:szCs w:val="18"/>
                <w:lang w:eastAsia="en-GB"/>
              </w:rPr>
            </w:pPr>
          </w:p>
        </w:tc>
        <w:tc>
          <w:tcPr>
            <w:tcW w:w="3260" w:type="dxa"/>
            <w:tcBorders>
              <w:top w:val="nil"/>
              <w:left w:val="nil"/>
              <w:bottom w:val="nil"/>
              <w:right w:val="nil"/>
            </w:tcBorders>
          </w:tcPr>
          <w:p w14:paraId="5562E478" w14:textId="77777777" w:rsidR="0094343F" w:rsidRPr="0034428B" w:rsidRDefault="0094343F" w:rsidP="009620D7">
            <w:pPr>
              <w:pStyle w:val="FSCtblPara"/>
              <w:numPr>
                <w:ilvl w:val="0"/>
                <w:numId w:val="10"/>
              </w:numPr>
              <w:spacing w:beforeAutospacing="0" w:afterAutospacing="0"/>
              <w:ind w:left="714" w:hanging="357"/>
              <w:rPr>
                <w:lang w:eastAsia="en-GB" w:bidi="en-US"/>
              </w:rPr>
            </w:pPr>
            <w:r w:rsidRPr="0034428B">
              <w:rPr>
                <w:lang w:bidi="en-US"/>
              </w:rPr>
              <w:t>May only be added to infant formula products.</w:t>
            </w:r>
          </w:p>
          <w:p w14:paraId="4DE3AADB" w14:textId="77777777" w:rsidR="0094343F" w:rsidRPr="00F1592D" w:rsidRDefault="0094343F" w:rsidP="009620D7">
            <w:pPr>
              <w:pStyle w:val="FSCtblPara"/>
              <w:numPr>
                <w:ilvl w:val="0"/>
                <w:numId w:val="10"/>
              </w:numPr>
              <w:spacing w:beforeAutospacing="0" w:afterAutospacing="0"/>
              <w:ind w:left="714" w:hanging="357"/>
            </w:pPr>
            <w:r w:rsidRPr="00F1592D">
              <w:t>During the exclusive use period, may only be sold under the brand CHR. HANSEN</w:t>
            </w:r>
            <w:r>
              <w:t>™</w:t>
            </w:r>
            <w:r w:rsidRPr="00F1592D">
              <w:t xml:space="preserve"> 2′-FL.</w:t>
            </w:r>
          </w:p>
          <w:p w14:paraId="321E768A" w14:textId="77777777" w:rsidR="0094343F" w:rsidRPr="0034428B" w:rsidRDefault="0094343F" w:rsidP="009620D7">
            <w:pPr>
              <w:pStyle w:val="FSCtblPara"/>
              <w:numPr>
                <w:ilvl w:val="0"/>
                <w:numId w:val="10"/>
              </w:numPr>
              <w:spacing w:beforeAutospacing="0" w:afterAutospacing="0"/>
              <w:ind w:left="714" w:hanging="357"/>
            </w:pPr>
            <w:r w:rsidRPr="0034428B">
              <w:rPr>
                <w:lang w:bidi="en-US"/>
              </w:rPr>
              <w:t xml:space="preserve">For the purposes of condition 2 above, </w:t>
            </w:r>
            <w:r w:rsidRPr="0034428B">
              <w:rPr>
                <w:b/>
                <w:lang w:bidi="en-US"/>
              </w:rPr>
              <w:t>exclusive use period</w:t>
            </w:r>
            <w:r w:rsidRPr="0034428B">
              <w:rPr>
                <w:lang w:bidi="en-US"/>
              </w:rPr>
              <w:t xml:space="preserve"> means the period commencing on the date of gazettal of the </w:t>
            </w:r>
            <w:r w:rsidRPr="0034428B">
              <w:rPr>
                <w:i/>
                <w:lang w:bidi="en-US"/>
              </w:rPr>
              <w:t>Food Standards (Application A1190 – 2</w:t>
            </w:r>
            <w:r w:rsidRPr="00EC22F2">
              <w:rPr>
                <w:lang w:bidi="en-US"/>
              </w:rPr>
              <w:t>′</w:t>
            </w:r>
            <w:r w:rsidRPr="0034428B">
              <w:rPr>
                <w:i/>
                <w:lang w:bidi="en-US"/>
              </w:rPr>
              <w:t>-FL in infant formula and other products) Variation</w:t>
            </w:r>
            <w:r w:rsidRPr="0034428B">
              <w:rPr>
                <w:lang w:bidi="en-US"/>
              </w:rPr>
              <w:t xml:space="preserve"> and ending 15 months after that date</w:t>
            </w:r>
            <w:r>
              <w:rPr>
                <w:lang w:bidi="en-US"/>
              </w:rPr>
              <w:t>.</w:t>
            </w:r>
          </w:p>
        </w:tc>
      </w:tr>
      <w:tr w:rsidR="0094343F" w:rsidRPr="0034428B" w14:paraId="448FC17B" w14:textId="77777777" w:rsidTr="0094343F">
        <w:trPr>
          <w:cantSplit/>
          <w:trHeight w:val="329"/>
        </w:trPr>
        <w:tc>
          <w:tcPr>
            <w:tcW w:w="284" w:type="dxa"/>
            <w:tcBorders>
              <w:top w:val="nil"/>
              <w:left w:val="nil"/>
              <w:right w:val="nil"/>
            </w:tcBorders>
            <w:tcMar>
              <w:top w:w="0" w:type="dxa"/>
              <w:left w:w="108" w:type="dxa"/>
              <w:bottom w:w="0" w:type="dxa"/>
              <w:right w:w="108" w:type="dxa"/>
            </w:tcMar>
          </w:tcPr>
          <w:p w14:paraId="5125369F" w14:textId="77777777" w:rsidR="0094343F" w:rsidRPr="0034428B" w:rsidRDefault="0094343F" w:rsidP="009620D7">
            <w:pPr>
              <w:spacing w:before="0" w:beforeAutospacing="0" w:after="0" w:afterAutospacing="0"/>
              <w:rPr>
                <w:rFonts w:cs="Arial"/>
                <w:b/>
                <w:bCs/>
                <w:sz w:val="18"/>
                <w:szCs w:val="18"/>
                <w:lang w:eastAsia="en-GB"/>
              </w:rPr>
            </w:pPr>
          </w:p>
        </w:tc>
        <w:tc>
          <w:tcPr>
            <w:tcW w:w="2126" w:type="dxa"/>
            <w:tcBorders>
              <w:top w:val="nil"/>
              <w:left w:val="nil"/>
              <w:right w:val="nil"/>
            </w:tcBorders>
            <w:tcMar>
              <w:top w:w="0" w:type="dxa"/>
              <w:left w:w="108" w:type="dxa"/>
              <w:bottom w:w="0" w:type="dxa"/>
              <w:right w:w="108" w:type="dxa"/>
            </w:tcMar>
          </w:tcPr>
          <w:p w14:paraId="1BAD4755" w14:textId="77777777" w:rsidR="0094343F" w:rsidRPr="0034428B" w:rsidRDefault="0094343F" w:rsidP="009620D7">
            <w:pPr>
              <w:spacing w:before="0" w:beforeAutospacing="0" w:after="0" w:afterAutospacing="0"/>
              <w:rPr>
                <w:rFonts w:cs="Arial"/>
                <w:b/>
                <w:bCs/>
                <w:sz w:val="18"/>
                <w:szCs w:val="18"/>
                <w:lang w:eastAsia="en-GB"/>
              </w:rPr>
            </w:pPr>
          </w:p>
        </w:tc>
        <w:tc>
          <w:tcPr>
            <w:tcW w:w="2693" w:type="dxa"/>
            <w:tcBorders>
              <w:top w:val="nil"/>
              <w:left w:val="nil"/>
              <w:right w:val="nil"/>
            </w:tcBorders>
          </w:tcPr>
          <w:p w14:paraId="61964BFD" w14:textId="77777777" w:rsidR="0094343F" w:rsidRPr="0034428B" w:rsidRDefault="0094343F" w:rsidP="009620D7">
            <w:pPr>
              <w:pStyle w:val="FSCtblPara"/>
              <w:numPr>
                <w:ilvl w:val="0"/>
                <w:numId w:val="25"/>
              </w:numPr>
              <w:spacing w:beforeAutospacing="0" w:afterAutospacing="0"/>
              <w:ind w:left="714" w:hanging="357"/>
              <w:rPr>
                <w:i/>
                <w:lang w:bidi="en-US"/>
              </w:rPr>
            </w:pPr>
            <w:r>
              <w:rPr>
                <w:i/>
                <w:lang w:bidi="en-US"/>
              </w:rPr>
              <w:t>Escherichia coli</w:t>
            </w:r>
            <w:r>
              <w:rPr>
                <w:lang w:bidi="en-US"/>
              </w:rPr>
              <w:t xml:space="preserve"> K-12 containing the gene for alpha-1,2-fucosyltransferase from </w:t>
            </w:r>
            <w:r>
              <w:rPr>
                <w:i/>
                <w:lang w:bidi="en-US"/>
              </w:rPr>
              <w:t>Bacteroides vulgatus</w:t>
            </w:r>
          </w:p>
        </w:tc>
        <w:tc>
          <w:tcPr>
            <w:tcW w:w="993" w:type="dxa"/>
            <w:tcBorders>
              <w:top w:val="nil"/>
              <w:left w:val="nil"/>
              <w:right w:val="nil"/>
            </w:tcBorders>
            <w:tcMar>
              <w:top w:w="0" w:type="dxa"/>
              <w:left w:w="108" w:type="dxa"/>
              <w:bottom w:w="0" w:type="dxa"/>
              <w:right w:w="108" w:type="dxa"/>
            </w:tcMar>
          </w:tcPr>
          <w:p w14:paraId="5DEE0705" w14:textId="77777777" w:rsidR="0094343F" w:rsidRPr="0034428B" w:rsidRDefault="0094343F" w:rsidP="009620D7">
            <w:pPr>
              <w:spacing w:before="0" w:beforeAutospacing="0" w:after="0" w:afterAutospacing="0"/>
              <w:rPr>
                <w:rFonts w:cs="Arial"/>
                <w:sz w:val="18"/>
                <w:szCs w:val="18"/>
                <w:lang w:eastAsia="en-GB"/>
              </w:rPr>
            </w:pPr>
          </w:p>
        </w:tc>
        <w:tc>
          <w:tcPr>
            <w:tcW w:w="3260" w:type="dxa"/>
            <w:tcBorders>
              <w:top w:val="nil"/>
              <w:left w:val="nil"/>
              <w:right w:val="nil"/>
            </w:tcBorders>
          </w:tcPr>
          <w:p w14:paraId="0F902A0E" w14:textId="77777777" w:rsidR="0094343F" w:rsidRDefault="0094343F" w:rsidP="009620D7">
            <w:pPr>
              <w:pStyle w:val="FSCtblPara"/>
              <w:numPr>
                <w:ilvl w:val="0"/>
                <w:numId w:val="21"/>
              </w:numPr>
              <w:spacing w:beforeAutospacing="0" w:afterAutospacing="0"/>
              <w:ind w:left="709" w:hanging="357"/>
              <w:rPr>
                <w:lang w:bidi="en-US"/>
              </w:rPr>
            </w:pPr>
            <w:r w:rsidRPr="0034428B">
              <w:rPr>
                <w:lang w:bidi="en-US"/>
              </w:rPr>
              <w:t>May only be added to infant formula products.</w:t>
            </w:r>
          </w:p>
          <w:p w14:paraId="28AA0965" w14:textId="77777777" w:rsidR="0094343F" w:rsidRPr="006F068B" w:rsidRDefault="0094343F" w:rsidP="009620D7">
            <w:pPr>
              <w:pStyle w:val="FSCtblPara"/>
              <w:numPr>
                <w:ilvl w:val="0"/>
                <w:numId w:val="21"/>
              </w:numPr>
              <w:spacing w:beforeAutospacing="0" w:afterAutospacing="0"/>
              <w:ind w:left="709" w:hanging="357"/>
              <w:rPr>
                <w:lang w:bidi="en-US"/>
              </w:rPr>
            </w:pPr>
            <w:r w:rsidRPr="006F068B">
              <w:rPr>
                <w:lang w:bidi="en-US"/>
              </w:rPr>
              <w:t>During the exclusive use period, may only be sold under the brand Aequival® 2’FL.</w:t>
            </w:r>
          </w:p>
          <w:p w14:paraId="1E3724E9" w14:textId="77777777" w:rsidR="0094343F" w:rsidRPr="0034428B" w:rsidRDefault="0094343F" w:rsidP="009620D7">
            <w:pPr>
              <w:pStyle w:val="FSCtblPara"/>
              <w:numPr>
                <w:ilvl w:val="0"/>
                <w:numId w:val="21"/>
              </w:numPr>
              <w:spacing w:beforeAutospacing="0" w:afterAutospacing="0"/>
              <w:ind w:left="709" w:hanging="357"/>
              <w:rPr>
                <w:lang w:bidi="en-US"/>
              </w:rPr>
            </w:pPr>
            <w:r w:rsidRPr="006F068B">
              <w:rPr>
                <w:lang w:bidi="en-US"/>
              </w:rPr>
              <w:t xml:space="preserve">For the purposes of condition 2 above, </w:t>
            </w:r>
            <w:r w:rsidRPr="00C9359D">
              <w:rPr>
                <w:b/>
                <w:lang w:bidi="en-US"/>
              </w:rPr>
              <w:t>exclusive use period</w:t>
            </w:r>
            <w:r w:rsidRPr="006F068B">
              <w:rPr>
                <w:lang w:bidi="en-US"/>
              </w:rPr>
              <w:t xml:space="preserve"> means the period commencing on the date of gazettal of the </w:t>
            </w:r>
            <w:r w:rsidRPr="006F068B">
              <w:rPr>
                <w:i/>
                <w:lang w:bidi="en-US"/>
              </w:rPr>
              <w:t>Food Standards (Application A1233 – 2’-FL from new GM source for infant formula) Variation</w:t>
            </w:r>
            <w:r w:rsidRPr="006F068B">
              <w:rPr>
                <w:lang w:bidi="en-US"/>
              </w:rPr>
              <w:t xml:space="preserve"> and ending 15 months after that date.</w:t>
            </w:r>
            <w:r>
              <w:rPr>
                <w:szCs w:val="18"/>
                <w:lang w:eastAsia="en-GB" w:bidi="en-US"/>
              </w:rPr>
              <w:t xml:space="preserve"> </w:t>
            </w:r>
          </w:p>
        </w:tc>
      </w:tr>
    </w:tbl>
    <w:p w14:paraId="59FE666C" w14:textId="77777777" w:rsidR="0094343F" w:rsidRDefault="0094343F" w:rsidP="009620D7">
      <w:pPr>
        <w:pStyle w:val="FSCDraftingitem"/>
        <w:spacing w:before="0" w:beforeAutospacing="0" w:after="0" w:afterAutospacing="0"/>
      </w:pPr>
    </w:p>
    <w:bookmarkEnd w:id="137"/>
    <w:p w14:paraId="0747ABE3" w14:textId="77777777" w:rsidR="00A7422F" w:rsidRDefault="00A7422F" w:rsidP="00510B7A">
      <w:pPr>
        <w:widowControl/>
        <w:spacing w:before="120" w:after="120"/>
        <w:rPr>
          <w:sz w:val="20"/>
        </w:rPr>
      </w:pPr>
      <w:r>
        <w:rPr>
          <w:sz w:val="20"/>
        </w:rPr>
        <w:br w:type="page"/>
      </w:r>
    </w:p>
    <w:p w14:paraId="7BEE38ED" w14:textId="7D8E22C4" w:rsidR="00456BD5" w:rsidRPr="003D3411" w:rsidRDefault="005E06C0" w:rsidP="00403A64">
      <w:pPr>
        <w:pStyle w:val="Heading2"/>
        <w:spacing w:before="120" w:after="120"/>
        <w:ind w:left="0" w:firstLine="0"/>
        <w:jc w:val="both"/>
        <w:rPr>
          <w:szCs w:val="28"/>
        </w:rPr>
      </w:pPr>
      <w:bookmarkStart w:id="139" w:name="_Toc100402967"/>
      <w:bookmarkStart w:id="140" w:name="_Toc120358598"/>
      <w:bookmarkStart w:id="141" w:name="_Toc175381460"/>
      <w:r w:rsidRPr="009620D7">
        <w:rPr>
          <w:szCs w:val="28"/>
        </w:rPr>
        <w:lastRenderedPageBreak/>
        <w:t xml:space="preserve">Attachment B – </w:t>
      </w:r>
      <w:r w:rsidR="00456BD5" w:rsidRPr="009620D7">
        <w:rPr>
          <w:szCs w:val="28"/>
        </w:rPr>
        <w:t>Explanatory Statement</w:t>
      </w:r>
      <w:bookmarkEnd w:id="139"/>
    </w:p>
    <w:p w14:paraId="24450CA3" w14:textId="7AACA438" w:rsidR="00456BD5" w:rsidRPr="005F2A8C" w:rsidRDefault="005F2A8C" w:rsidP="00403A64">
      <w:pPr>
        <w:spacing w:before="120" w:after="120"/>
        <w:jc w:val="both"/>
        <w:rPr>
          <w:b/>
          <w:lang w:val="en-AU" w:eastAsia="en-GB" w:bidi="ar-SA"/>
        </w:rPr>
      </w:pPr>
      <w:r>
        <w:rPr>
          <w:b/>
          <w:lang w:val="en-AU" w:eastAsia="en-GB" w:bidi="ar-SA"/>
        </w:rPr>
        <w:t>1.</w:t>
      </w:r>
      <w:r>
        <w:rPr>
          <w:b/>
          <w:lang w:val="en-AU" w:eastAsia="en-GB" w:bidi="ar-SA"/>
        </w:rPr>
        <w:tab/>
        <w:t>Authority</w:t>
      </w:r>
    </w:p>
    <w:p w14:paraId="63EC1329" w14:textId="2C5A9AD5" w:rsidR="00456BD5" w:rsidRPr="000E1758" w:rsidRDefault="00456BD5" w:rsidP="00403A64">
      <w:pPr>
        <w:widowControl/>
        <w:autoSpaceDE w:val="0"/>
        <w:autoSpaceDN w:val="0"/>
        <w:adjustRightInd w:val="0"/>
        <w:spacing w:before="120" w:after="120"/>
        <w:jc w:val="both"/>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005F2A8C">
        <w:rPr>
          <w:rFonts w:eastAsia="Calibri" w:cs="Arial"/>
          <w:bCs/>
          <w:szCs w:val="22"/>
          <w:lang w:val="en-AU" w:bidi="ar-SA"/>
        </w:rPr>
        <w:t xml:space="preserve"> (the Code).</w:t>
      </w:r>
    </w:p>
    <w:p w14:paraId="2E47AD6B" w14:textId="5810147B" w:rsidR="00456BD5" w:rsidRPr="000E1758" w:rsidRDefault="00456BD5" w:rsidP="00403A64">
      <w:pPr>
        <w:widowControl/>
        <w:autoSpaceDE w:val="0"/>
        <w:autoSpaceDN w:val="0"/>
        <w:adjustRightInd w:val="0"/>
        <w:spacing w:before="120" w:after="120"/>
        <w:jc w:val="both"/>
        <w:rPr>
          <w:rFonts w:eastAsia="Calibri" w:cs="Arial"/>
          <w:bCs/>
          <w:szCs w:val="22"/>
          <w:lang w:val="en-AU" w:bidi="ar-SA"/>
        </w:rPr>
      </w:pPr>
      <w:r w:rsidRPr="000E1758">
        <w:rPr>
          <w:rFonts w:eastAsia="Calibri" w:cs="Arial"/>
          <w:bCs/>
          <w:szCs w:val="22"/>
          <w:lang w:val="en-AU" w:bidi="ar-SA"/>
        </w:rPr>
        <w:t>Division 1 of Part 3 of the FSANZ Act specifies that the Authority may accept applications for the development or variation of food regulatory measures, including standards. This Division also stipulates the procedure for considering an application for the development or variatio</w:t>
      </w:r>
      <w:r w:rsidR="005F2A8C">
        <w:rPr>
          <w:rFonts w:eastAsia="Calibri" w:cs="Arial"/>
          <w:bCs/>
          <w:szCs w:val="22"/>
          <w:lang w:val="en-AU" w:bidi="ar-SA"/>
        </w:rPr>
        <w:t xml:space="preserve">n of food regulatory measures. </w:t>
      </w:r>
    </w:p>
    <w:p w14:paraId="7059258A" w14:textId="61627E36" w:rsidR="00456BD5" w:rsidRPr="00D13E34" w:rsidRDefault="00456BD5" w:rsidP="00403A64">
      <w:pPr>
        <w:widowControl/>
        <w:autoSpaceDE w:val="0"/>
        <w:autoSpaceDN w:val="0"/>
        <w:adjustRightInd w:val="0"/>
        <w:spacing w:before="120" w:after="120"/>
        <w:jc w:val="both"/>
        <w:rPr>
          <w:rFonts w:eastAsia="Calibri" w:cs="Arial"/>
          <w:bCs/>
          <w:szCs w:val="22"/>
          <w:lang w:val="en-AU" w:bidi="ar-SA"/>
        </w:rPr>
      </w:pPr>
      <w:r w:rsidRPr="000E1758">
        <w:rPr>
          <w:rFonts w:eastAsia="Calibri" w:cs="Arial"/>
          <w:bCs/>
          <w:szCs w:val="22"/>
          <w:lang w:val="en-AU" w:bidi="ar-SA"/>
        </w:rPr>
        <w:t xml:space="preserve">The Authority accepted </w:t>
      </w:r>
      <w:r w:rsidR="00953852" w:rsidRPr="00953852">
        <w:rPr>
          <w:rFonts w:eastAsia="Calibri" w:cs="Arial"/>
          <w:bCs/>
          <w:szCs w:val="22"/>
          <w:lang w:val="en-AU" w:bidi="ar-SA"/>
        </w:rPr>
        <w:t>A1</w:t>
      </w:r>
      <w:r w:rsidR="00953852">
        <w:rPr>
          <w:rFonts w:eastAsia="Calibri" w:cs="Arial"/>
          <w:bCs/>
          <w:szCs w:val="22"/>
          <w:lang w:val="en-AU" w:bidi="ar-SA"/>
        </w:rPr>
        <w:t>233</w:t>
      </w:r>
      <w:r w:rsidR="00953852" w:rsidRPr="000E1758">
        <w:rPr>
          <w:rFonts w:eastAsia="Calibri" w:cs="Arial"/>
          <w:bCs/>
          <w:szCs w:val="22"/>
          <w:lang w:val="en-AU" w:bidi="ar-SA"/>
        </w:rPr>
        <w:t xml:space="preserve"> </w:t>
      </w:r>
      <w:r w:rsidR="00861FA8" w:rsidRPr="000E1758">
        <w:rPr>
          <w:rFonts w:eastAsia="Calibri" w:cs="Arial"/>
          <w:bCs/>
          <w:szCs w:val="22"/>
          <w:lang w:val="en-AU" w:bidi="ar-SA"/>
        </w:rPr>
        <w:t xml:space="preserve">which sought to </w:t>
      </w:r>
      <w:r w:rsidR="00861FA8" w:rsidRPr="000E1758">
        <w:rPr>
          <w:szCs w:val="22"/>
        </w:rPr>
        <w:t xml:space="preserve">permit the voluntary addition of 2′-fucosyllactose (2′-FL) from a new </w:t>
      </w:r>
      <w:r w:rsidR="00861FA8" w:rsidRPr="000E1758">
        <w:t>microbial source</w:t>
      </w:r>
      <w:r w:rsidR="00861FA8" w:rsidRPr="000E1758">
        <w:rPr>
          <w:szCs w:val="22"/>
        </w:rPr>
        <w:t xml:space="preserve">, as a nutritive substance, to infant formula products. </w:t>
      </w:r>
      <w:r w:rsidRPr="000E1758">
        <w:rPr>
          <w:rFonts w:eastAsia="Calibri" w:cs="Arial"/>
          <w:bCs/>
          <w:szCs w:val="22"/>
          <w:lang w:val="en-AU" w:bidi="ar-SA"/>
        </w:rPr>
        <w:t xml:space="preserve">The Authority considered </w:t>
      </w:r>
      <w:r w:rsidR="005F1E79">
        <w:rPr>
          <w:rFonts w:eastAsia="Calibri" w:cs="Arial"/>
          <w:bCs/>
          <w:szCs w:val="22"/>
          <w:lang w:val="en-AU" w:bidi="ar-SA"/>
        </w:rPr>
        <w:t xml:space="preserve">the </w:t>
      </w:r>
      <w:r w:rsidR="00DF6DB2">
        <w:rPr>
          <w:rFonts w:eastAsia="Calibri" w:cs="Arial"/>
          <w:bCs/>
          <w:szCs w:val="22"/>
          <w:lang w:val="en-AU" w:bidi="ar-SA"/>
        </w:rPr>
        <w:t>application</w:t>
      </w:r>
      <w:r w:rsidRPr="000E1758">
        <w:rPr>
          <w:rFonts w:eastAsia="Calibri" w:cs="Arial"/>
          <w:bCs/>
          <w:szCs w:val="22"/>
          <w:lang w:val="en-AU" w:bidi="ar-SA"/>
        </w:rPr>
        <w:t xml:space="preserve"> in accordance with Division 1 of Part 3 and </w:t>
      </w:r>
      <w:r w:rsidR="005F2A8C">
        <w:rPr>
          <w:rFonts w:eastAsia="Calibri" w:cs="Arial"/>
          <w:bCs/>
          <w:szCs w:val="22"/>
          <w:lang w:val="en-AU" w:bidi="ar-SA"/>
        </w:rPr>
        <w:t xml:space="preserve">has approved a draft </w:t>
      </w:r>
      <w:r w:rsidR="00C009A7">
        <w:rPr>
          <w:rFonts w:eastAsia="Calibri" w:cs="Arial"/>
          <w:bCs/>
          <w:szCs w:val="22"/>
          <w:lang w:val="en-AU" w:bidi="ar-SA"/>
        </w:rPr>
        <w:t>variation</w:t>
      </w:r>
      <w:r w:rsidR="005F2A8C">
        <w:rPr>
          <w:rFonts w:eastAsia="Calibri" w:cs="Arial"/>
          <w:bCs/>
          <w:szCs w:val="22"/>
          <w:lang w:val="en-AU" w:bidi="ar-SA"/>
        </w:rPr>
        <w:t xml:space="preserve">. </w:t>
      </w:r>
    </w:p>
    <w:p w14:paraId="1553F09E" w14:textId="0E9009A6" w:rsidR="00456BD5" w:rsidRPr="00D13E34" w:rsidRDefault="00456BD5" w:rsidP="00403A64">
      <w:pPr>
        <w:widowControl/>
        <w:autoSpaceDE w:val="0"/>
        <w:autoSpaceDN w:val="0"/>
        <w:adjustRightInd w:val="0"/>
        <w:spacing w:before="120" w:after="120"/>
        <w:jc w:val="both"/>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sidR="00C24193">
        <w:rPr>
          <w:rFonts w:cs="Helvetica"/>
          <w:lang w:val="en-AU"/>
        </w:rPr>
        <w:t>Food Ministers’ Meeting</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3138CB85" w14:textId="77777777" w:rsidR="003A5F90" w:rsidRPr="00D00473" w:rsidRDefault="003A5F90" w:rsidP="009620D7">
      <w:pPr>
        <w:widowControl/>
        <w:autoSpaceDE w:val="0"/>
        <w:autoSpaceDN w:val="0"/>
        <w:adjustRightInd w:val="0"/>
        <w:spacing w:before="0" w:beforeAutospacing="0" w:after="0" w:afterAutospacing="0"/>
        <w:rPr>
          <w:rFonts w:eastAsia="Calibri" w:cs="Arial"/>
          <w:b/>
          <w:bCs/>
          <w:szCs w:val="22"/>
          <w:lang w:val="en-AU" w:bidi="ar-SA"/>
        </w:rPr>
      </w:pPr>
      <w:r>
        <w:rPr>
          <w:rFonts w:eastAsia="Calibri" w:cs="Arial"/>
          <w:b/>
          <w:bCs/>
          <w:szCs w:val="22"/>
          <w:lang w:val="en-AU" w:bidi="ar-SA"/>
        </w:rPr>
        <w:t>2.</w:t>
      </w:r>
      <w:r>
        <w:rPr>
          <w:rFonts w:eastAsia="Calibri" w:cs="Arial"/>
          <w:b/>
          <w:bCs/>
          <w:szCs w:val="22"/>
          <w:lang w:val="en-AU" w:bidi="ar-SA"/>
        </w:rPr>
        <w:tab/>
      </w:r>
      <w:r w:rsidRPr="00D00473">
        <w:rPr>
          <w:rFonts w:eastAsia="Calibri" w:cs="Arial"/>
          <w:b/>
          <w:bCs/>
          <w:szCs w:val="22"/>
          <w:lang w:val="en-AU" w:bidi="ar-SA"/>
        </w:rPr>
        <w:t>Variation is a legislative instrument</w:t>
      </w:r>
    </w:p>
    <w:p w14:paraId="6AE46C7B" w14:textId="77777777" w:rsidR="003A5F90" w:rsidRPr="00D00473" w:rsidRDefault="003A5F90" w:rsidP="009620D7">
      <w:pPr>
        <w:spacing w:before="0" w:beforeAutospacing="0" w:after="0" w:afterAutospacing="0"/>
        <w:rPr>
          <w:rFonts w:eastAsia="Calibri" w:cs="Arial"/>
          <w:szCs w:val="22"/>
          <w:lang w:val="en-AU" w:bidi="ar-SA"/>
        </w:rPr>
      </w:pPr>
    </w:p>
    <w:p w14:paraId="5822893E" w14:textId="77777777" w:rsidR="003A5F90" w:rsidRPr="00D00473" w:rsidRDefault="003A5F90" w:rsidP="009620D7">
      <w:pPr>
        <w:spacing w:before="0" w:beforeAutospacing="0" w:after="0" w:afterAutospacing="0"/>
        <w:rPr>
          <w:rFonts w:cs="Arial"/>
          <w:szCs w:val="22"/>
          <w:lang w:bidi="ar-SA"/>
        </w:rPr>
      </w:pPr>
      <w:r w:rsidRPr="00D00473">
        <w:rPr>
          <w:rFonts w:cs="Arial"/>
        </w:rPr>
        <w:t xml:space="preserve">The approved draft variation is a legislative instrument for the purposes of the </w:t>
      </w:r>
      <w:r w:rsidRPr="00D00473">
        <w:rPr>
          <w:rFonts w:cs="Arial"/>
          <w:i/>
          <w:iCs/>
        </w:rPr>
        <w:t>Legislation Act 2003</w:t>
      </w:r>
      <w:r w:rsidRPr="00D00473">
        <w:rPr>
          <w:rFonts w:cs="Arial"/>
        </w:rPr>
        <w:t xml:space="preserve"> (see section 94 of the FSANZ Act) and is publicly available on the Federal Register of Legislation (</w:t>
      </w:r>
      <w:hyperlink r:id="rId27" w:history="1">
        <w:r w:rsidRPr="00D00473">
          <w:rPr>
            <w:rFonts w:cs="Arial"/>
            <w:color w:val="3333FF"/>
            <w:u w:val="single"/>
          </w:rPr>
          <w:t>www.legislation.gov.au</w:t>
        </w:r>
      </w:hyperlink>
      <w:r w:rsidRPr="00D00473">
        <w:rPr>
          <w:rFonts w:cs="Arial"/>
        </w:rPr>
        <w:t>).</w:t>
      </w:r>
    </w:p>
    <w:p w14:paraId="3FF7F25B" w14:textId="77777777" w:rsidR="003A5F90" w:rsidRPr="00D00473" w:rsidRDefault="003A5F90" w:rsidP="009620D7">
      <w:pPr>
        <w:spacing w:before="0" w:beforeAutospacing="0" w:after="0" w:afterAutospacing="0"/>
        <w:rPr>
          <w:rFonts w:cs="Arial"/>
        </w:rPr>
      </w:pPr>
    </w:p>
    <w:p w14:paraId="261956F1" w14:textId="77777777" w:rsidR="003A5F90" w:rsidRPr="00FB45C7" w:rsidRDefault="003A5F90" w:rsidP="009620D7">
      <w:pPr>
        <w:spacing w:before="0" w:beforeAutospacing="0" w:after="0" w:afterAutospacing="0"/>
        <w:rPr>
          <w:rFonts w:cs="Arial"/>
        </w:rPr>
      </w:pPr>
      <w:r w:rsidRPr="00D00473">
        <w:rPr>
          <w:rFonts w:cs="Arial"/>
        </w:rPr>
        <w:t xml:space="preserve">This instrument is not subject to the disallowance or sunsetting provisions of the </w:t>
      </w:r>
      <w:r w:rsidRPr="00D00473">
        <w:rPr>
          <w:rFonts w:cs="Arial"/>
          <w:i/>
          <w:iCs/>
        </w:rPr>
        <w:t xml:space="preserve">Legislation Act 2003. </w:t>
      </w:r>
      <w:r w:rsidRPr="00D00473">
        <w:rPr>
          <w:rFonts w:cs="Arial"/>
        </w:rPr>
        <w:t>Subsections</w:t>
      </w:r>
      <w:r w:rsidRPr="00FB45C7">
        <w:rPr>
          <w:rFonts w:cs="Arial"/>
          <w:i/>
          <w:iCs/>
        </w:rPr>
        <w:t xml:space="preserve"> </w:t>
      </w:r>
      <w:r w:rsidRPr="00FB45C7">
        <w:rPr>
          <w:rFonts w:cs="Arial"/>
        </w:rPr>
        <w:t>44(1) and 54(1) of that Act</w:t>
      </w:r>
      <w:r w:rsidRPr="00FB45C7">
        <w:rPr>
          <w:rFonts w:cs="Arial"/>
          <w:i/>
          <w:iCs/>
        </w:rPr>
        <w:t xml:space="preserve"> </w:t>
      </w:r>
      <w:r w:rsidRPr="00FB45C7">
        <w:rPr>
          <w:rFonts w:cs="Arial"/>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FB45C7">
        <w:rPr>
          <w:rFonts w:cs="Arial"/>
          <w:i/>
          <w:iCs/>
        </w:rPr>
        <w:t>Legislation (Exemptions and other Matters) Regulation 2015</w:t>
      </w:r>
      <w:r w:rsidRPr="00FB45C7">
        <w:rPr>
          <w:rFonts w:cs="Arial"/>
        </w:rPr>
        <w:t xml:space="preserve"> </w:t>
      </w:r>
      <w:r w:rsidRPr="00FB45C7">
        <w:rPr>
          <w:rFonts w:cs="Arial"/>
          <w:lang w:val="en"/>
        </w:rPr>
        <w:t xml:space="preserve">also exempts from sunsetting legislative instruments </w:t>
      </w:r>
      <w:r w:rsidRPr="00FB45C7">
        <w:rPr>
          <w:rFonts w:cs="Arial"/>
          <w:shd w:val="clear" w:color="auto" w:fill="FFFFFF"/>
        </w:rPr>
        <w:t xml:space="preserve">a primary purpose of which is to </w:t>
      </w:r>
      <w:r w:rsidRPr="00FB45C7">
        <w:rPr>
          <w:rFonts w:cs="Arial"/>
        </w:rPr>
        <w:t>give effect to an international obligation of Australia.</w:t>
      </w:r>
    </w:p>
    <w:p w14:paraId="352912C6" w14:textId="77777777" w:rsidR="003A5F90" w:rsidRPr="00FB45C7" w:rsidRDefault="003A5F90" w:rsidP="009620D7">
      <w:pPr>
        <w:spacing w:before="0" w:beforeAutospacing="0" w:after="0" w:afterAutospacing="0"/>
        <w:rPr>
          <w:rFonts w:cs="Arial"/>
          <w:color w:val="0000CC"/>
        </w:rPr>
      </w:pPr>
    </w:p>
    <w:p w14:paraId="462332E7" w14:textId="4429DFB9" w:rsidR="003A5F90" w:rsidRDefault="003A5F90" w:rsidP="009620D7">
      <w:pPr>
        <w:widowControl/>
        <w:autoSpaceDE w:val="0"/>
        <w:autoSpaceDN w:val="0"/>
        <w:adjustRightInd w:val="0"/>
        <w:spacing w:before="0" w:beforeAutospacing="0" w:after="0" w:afterAutospacing="0"/>
        <w:rPr>
          <w:rFonts w:cs="Arial"/>
          <w:lang w:val="en-AU"/>
        </w:rPr>
      </w:pPr>
      <w:r w:rsidRPr="00FB45C7">
        <w:rPr>
          <w:rFonts w:cs="Arial"/>
        </w:rPr>
        <w:t xml:space="preserve">The </w:t>
      </w:r>
      <w:r w:rsidRPr="00FB45C7">
        <w:rPr>
          <w:rFonts w:cs="Arial"/>
          <w:lang w:val="en-AU"/>
        </w:rPr>
        <w:t>FSANZ Act</w:t>
      </w:r>
      <w:r w:rsidRPr="00FB45C7">
        <w:rPr>
          <w:rFonts w:cs="Arial"/>
          <w:i/>
          <w:iCs/>
          <w:lang w:val="en-AU"/>
        </w:rPr>
        <w:t xml:space="preserve"> </w:t>
      </w:r>
      <w:r w:rsidRPr="00FB45C7">
        <w:rPr>
          <w:rFonts w:cs="Arial"/>
          <w:lang w:val="en-AU"/>
        </w:rPr>
        <w:t xml:space="preserve">gives effect to </w:t>
      </w:r>
      <w:r w:rsidRPr="00FB45C7">
        <w:rPr>
          <w:rFonts w:cs="Arial"/>
        </w:rPr>
        <w:t xml:space="preserve">an intergovernmental agreement (the Food Regulation Agreement) and facilitates the establishment or operation of an intergovernmental scheme (national uniform food regulation). </w:t>
      </w:r>
      <w:r w:rsidRPr="00FB45C7">
        <w:rPr>
          <w:rFonts w:cs="Arial"/>
          <w:lang w:val="en-AU"/>
        </w:rPr>
        <w:t>That Act also</w:t>
      </w:r>
      <w:r w:rsidRPr="00FB45C7">
        <w:rPr>
          <w:rFonts w:cs="Arial"/>
          <w:i/>
          <w:iCs/>
          <w:lang w:val="en-AU"/>
        </w:rPr>
        <w:t xml:space="preserve"> </w:t>
      </w:r>
      <w:r w:rsidRPr="00FB45C7">
        <w:rPr>
          <w:rFonts w:cs="Arial"/>
          <w:lang w:val="en-AU"/>
        </w:rPr>
        <w:t xml:space="preserve">gives effect to Australia’s obligations under an international agreement between Australia and New Zealand. For these purposes, the Act </w:t>
      </w:r>
      <w:r w:rsidRPr="00FB45C7">
        <w:rPr>
          <w:rFonts w:cs="Arial"/>
        </w:rPr>
        <w:t xml:space="preserve">establishes the Authority to </w:t>
      </w:r>
      <w:r w:rsidRPr="00FB45C7">
        <w:rPr>
          <w:rFonts w:cs="Arial"/>
          <w:lang w:val="en-AU"/>
        </w:rPr>
        <w:t xml:space="preserve">develop food standards </w:t>
      </w:r>
      <w:r w:rsidRPr="00FB45C7">
        <w:rPr>
          <w:rFonts w:cs="Arial"/>
        </w:rPr>
        <w:t xml:space="preserve">for consideration and endorsement by the Food Ministers Meeting (FMM). The FMM is established under the Food Regulation Agreement and the </w:t>
      </w:r>
      <w:r w:rsidRPr="00FB45C7">
        <w:rPr>
          <w:rFonts w:cs="Arial"/>
          <w:lang w:val="en-AU"/>
        </w:rPr>
        <w:t>international agreement between Australia and New Zealand</w:t>
      </w:r>
      <w:r w:rsidRPr="00FB45C7">
        <w:rPr>
          <w:rFonts w:cs="Arial"/>
        </w:rPr>
        <w:t xml:space="preserve">, and consists of New Zealand, Commonwealth and State/Territory members. If endorsed by the FMM, </w:t>
      </w:r>
      <w:r w:rsidRPr="00FB45C7">
        <w:rPr>
          <w:rFonts w:cs="Arial"/>
          <w:lang w:val="en-AU"/>
        </w:rPr>
        <w:t>the food standards on gazettal and registration are incorporated into and become part of Commonwealth, State and Territory and New Zealand food laws. These standards or instruments are then administered, applied and enforced by these jurisdictions’ regulators as part of those food laws.</w:t>
      </w:r>
    </w:p>
    <w:p w14:paraId="1578A0FD" w14:textId="267D2A6F" w:rsidR="007952E4" w:rsidRDefault="007952E4" w:rsidP="009620D7">
      <w:pPr>
        <w:widowControl/>
        <w:autoSpaceDE w:val="0"/>
        <w:autoSpaceDN w:val="0"/>
        <w:adjustRightInd w:val="0"/>
        <w:spacing w:before="0" w:beforeAutospacing="0" w:after="0" w:afterAutospacing="0"/>
        <w:rPr>
          <w:rFonts w:eastAsia="Calibri" w:cs="Arial"/>
          <w:color w:val="000000"/>
          <w:szCs w:val="22"/>
          <w:lang w:val="en-AU" w:bidi="ar-SA"/>
        </w:rPr>
      </w:pPr>
    </w:p>
    <w:p w14:paraId="2AD1A849" w14:textId="3E531FE4" w:rsidR="007952E4" w:rsidRDefault="007952E4" w:rsidP="009620D7">
      <w:pPr>
        <w:widowControl/>
        <w:autoSpaceDE w:val="0"/>
        <w:autoSpaceDN w:val="0"/>
        <w:adjustRightInd w:val="0"/>
        <w:spacing w:before="0" w:beforeAutospacing="0" w:after="0" w:afterAutospacing="0"/>
        <w:rPr>
          <w:rFonts w:eastAsia="Calibri" w:cs="Arial"/>
          <w:color w:val="000000"/>
          <w:szCs w:val="22"/>
          <w:lang w:val="en-AU" w:bidi="ar-SA"/>
        </w:rPr>
      </w:pPr>
    </w:p>
    <w:p w14:paraId="15FB40ED" w14:textId="77777777" w:rsidR="007952E4" w:rsidRPr="00D13E34" w:rsidRDefault="007952E4" w:rsidP="009620D7">
      <w:pPr>
        <w:widowControl/>
        <w:autoSpaceDE w:val="0"/>
        <w:autoSpaceDN w:val="0"/>
        <w:adjustRightInd w:val="0"/>
        <w:spacing w:before="0" w:beforeAutospacing="0" w:after="0" w:afterAutospacing="0"/>
        <w:rPr>
          <w:rFonts w:eastAsia="Calibri" w:cs="Arial"/>
          <w:color w:val="000000"/>
          <w:szCs w:val="22"/>
          <w:lang w:val="en-AU" w:bidi="ar-SA"/>
        </w:rPr>
      </w:pPr>
    </w:p>
    <w:p w14:paraId="277E347E" w14:textId="014A0488" w:rsidR="00456BD5" w:rsidRPr="005F2A8C" w:rsidRDefault="003A5F90" w:rsidP="00403A64">
      <w:pPr>
        <w:spacing w:before="120" w:after="120"/>
        <w:jc w:val="both"/>
        <w:rPr>
          <w:b/>
          <w:lang w:val="en-AU" w:eastAsia="en-GB" w:bidi="ar-SA"/>
        </w:rPr>
      </w:pPr>
      <w:r>
        <w:rPr>
          <w:b/>
          <w:lang w:val="en-AU" w:eastAsia="en-GB" w:bidi="ar-SA"/>
        </w:rPr>
        <w:lastRenderedPageBreak/>
        <w:t>3</w:t>
      </w:r>
      <w:r w:rsidR="005F2A8C">
        <w:rPr>
          <w:b/>
          <w:lang w:val="en-AU" w:eastAsia="en-GB" w:bidi="ar-SA"/>
        </w:rPr>
        <w:t>.</w:t>
      </w:r>
      <w:r w:rsidR="005F2A8C">
        <w:rPr>
          <w:b/>
          <w:lang w:val="en-AU" w:eastAsia="en-GB" w:bidi="ar-SA"/>
        </w:rPr>
        <w:tab/>
        <w:t xml:space="preserve">Purpose </w:t>
      </w:r>
    </w:p>
    <w:p w14:paraId="0A42D0EB" w14:textId="13B9E91C" w:rsidR="00861FA8" w:rsidRDefault="003A5F90" w:rsidP="00403A64">
      <w:pPr>
        <w:widowControl/>
        <w:spacing w:before="120" w:after="120"/>
        <w:jc w:val="both"/>
        <w:rPr>
          <w:lang w:val="en-AU" w:eastAsia="en-GB" w:bidi="ar-SA"/>
        </w:rPr>
      </w:pPr>
      <w:r w:rsidRPr="00C72AEF">
        <w:rPr>
          <w:lang w:eastAsia="en-GB"/>
        </w:rPr>
        <w:t xml:space="preserve">The purpose of the </w:t>
      </w:r>
      <w:r>
        <w:rPr>
          <w:lang w:eastAsia="en-GB"/>
        </w:rPr>
        <w:t xml:space="preserve">approved </w:t>
      </w:r>
      <w:r w:rsidRPr="00C72AEF">
        <w:rPr>
          <w:lang w:eastAsia="en-GB"/>
        </w:rPr>
        <w:t xml:space="preserve">draft variation is to </w:t>
      </w:r>
      <w:r w:rsidR="00861FA8">
        <w:rPr>
          <w:lang w:val="en-AU" w:eastAsia="en-GB" w:bidi="ar-SA"/>
        </w:rPr>
        <w:t>:</w:t>
      </w:r>
    </w:p>
    <w:p w14:paraId="40557261" w14:textId="063FB160" w:rsidR="00861FA8" w:rsidRDefault="00861FA8" w:rsidP="008E6FE4">
      <w:pPr>
        <w:pStyle w:val="FSBullet1"/>
        <w:numPr>
          <w:ilvl w:val="0"/>
          <w:numId w:val="4"/>
        </w:numPr>
        <w:spacing w:before="120" w:after="120"/>
        <w:ind w:left="567" w:hanging="567"/>
        <w:jc w:val="both"/>
      </w:pPr>
      <w:r>
        <w:t>amend Schedule 26</w:t>
      </w:r>
      <w:r w:rsidR="00F2042B">
        <w:t xml:space="preserve"> of the Code</w:t>
      </w:r>
      <w:r>
        <w:t xml:space="preserve"> to permit the addition of 2′-FL derived from a new microbial source  in infant formula products subject to certain conditions, including an exclusive use period of 15 months for the applicant’s brand of 2′-FL; and</w:t>
      </w:r>
    </w:p>
    <w:p w14:paraId="2C76789C" w14:textId="797AF09D" w:rsidR="00861FA8" w:rsidRPr="00EE15DC" w:rsidRDefault="003D3411" w:rsidP="004F2EDA">
      <w:pPr>
        <w:pStyle w:val="FSBullet1"/>
        <w:numPr>
          <w:ilvl w:val="0"/>
          <w:numId w:val="4"/>
        </w:numPr>
        <w:spacing w:before="120" w:after="120"/>
        <w:ind w:left="567" w:hanging="567"/>
        <w:jc w:val="both"/>
      </w:pPr>
      <w:r>
        <w:t xml:space="preserve">amend Schedule 3 </w:t>
      </w:r>
      <w:r w:rsidR="00F2042B">
        <w:t xml:space="preserve">of the Code </w:t>
      </w:r>
      <w:r>
        <w:t xml:space="preserve">to set a </w:t>
      </w:r>
      <w:r w:rsidRPr="003D3411">
        <w:t>new specification</w:t>
      </w:r>
      <w:r w:rsidR="00861FA8" w:rsidRPr="003D3411">
        <w:t xml:space="preserve"> for 2′-FL </w:t>
      </w:r>
      <w:r w:rsidR="00426CF2" w:rsidRPr="007952E4">
        <w:t xml:space="preserve">sourced from </w:t>
      </w:r>
      <w:r w:rsidR="00426CF2" w:rsidRPr="007952E4">
        <w:rPr>
          <w:i/>
        </w:rPr>
        <w:t>Escherichia coli</w:t>
      </w:r>
      <w:r w:rsidR="00426CF2" w:rsidRPr="007952E4">
        <w:t xml:space="preserve"> K-12 </w:t>
      </w:r>
      <w:r>
        <w:t xml:space="preserve">containing the gene </w:t>
      </w:r>
      <w:r w:rsidRPr="009D1E8F">
        <w:t xml:space="preserve">for alpha-1,2-fucosyltransferase </w:t>
      </w:r>
      <w:r w:rsidR="00426CF2" w:rsidRPr="007952E4">
        <w:t xml:space="preserve">from either </w:t>
      </w:r>
      <w:r w:rsidR="00426CF2" w:rsidRPr="007952E4">
        <w:rPr>
          <w:i/>
        </w:rPr>
        <w:t>Helicobacter pylori</w:t>
      </w:r>
      <w:r w:rsidR="00426CF2" w:rsidRPr="007952E4">
        <w:t xml:space="preserve"> or </w:t>
      </w:r>
      <w:r w:rsidR="00426CF2" w:rsidRPr="007952E4">
        <w:rPr>
          <w:i/>
        </w:rPr>
        <w:t>Bacteroides vulgatus</w:t>
      </w:r>
      <w:r w:rsidR="00861FA8" w:rsidRPr="003D3411">
        <w:t>.</w:t>
      </w:r>
    </w:p>
    <w:p w14:paraId="3AF722DD" w14:textId="5B6DD2FE" w:rsidR="00456BD5" w:rsidRPr="005F2A8C" w:rsidRDefault="0039229F" w:rsidP="00403A64">
      <w:pPr>
        <w:spacing w:before="120" w:after="120"/>
        <w:jc w:val="both"/>
        <w:rPr>
          <w:b/>
          <w:lang w:val="en-AU" w:eastAsia="en-GB" w:bidi="ar-SA"/>
        </w:rPr>
      </w:pPr>
      <w:r>
        <w:rPr>
          <w:b/>
          <w:lang w:val="en-AU" w:eastAsia="en-GB" w:bidi="ar-SA"/>
        </w:rPr>
        <w:t>4</w:t>
      </w:r>
      <w:r w:rsidR="00456BD5" w:rsidRPr="000576EB">
        <w:rPr>
          <w:b/>
          <w:lang w:val="en-AU" w:eastAsia="en-GB" w:bidi="ar-SA"/>
        </w:rPr>
        <w:t>.</w:t>
      </w:r>
      <w:r w:rsidR="00456BD5" w:rsidRPr="000576EB">
        <w:rPr>
          <w:b/>
          <w:lang w:val="en-AU" w:eastAsia="en-GB" w:bidi="ar-SA"/>
        </w:rPr>
        <w:tab/>
        <w:t>Docu</w:t>
      </w:r>
      <w:r w:rsidR="005F2A8C">
        <w:rPr>
          <w:b/>
          <w:lang w:val="en-AU" w:eastAsia="en-GB" w:bidi="ar-SA"/>
        </w:rPr>
        <w:t>ments incorporated by reference</w:t>
      </w:r>
    </w:p>
    <w:p w14:paraId="1F47CDD5" w14:textId="5C4BF48D" w:rsidR="00861FA8" w:rsidRDefault="00E17545" w:rsidP="00403A64">
      <w:pPr>
        <w:widowControl/>
        <w:autoSpaceDE w:val="0"/>
        <w:autoSpaceDN w:val="0"/>
        <w:adjustRightInd w:val="0"/>
        <w:spacing w:before="120" w:after="120"/>
        <w:jc w:val="both"/>
        <w:rPr>
          <w:rFonts w:eastAsia="Calibri" w:cs="Arial"/>
          <w:bCs/>
          <w:szCs w:val="22"/>
          <w:lang w:val="en-AU" w:bidi="ar-SA"/>
        </w:rPr>
      </w:pPr>
      <w:r w:rsidRPr="00D13E34">
        <w:rPr>
          <w:rFonts w:eastAsia="Calibri" w:cs="Arial"/>
          <w:bCs/>
          <w:szCs w:val="22"/>
          <w:lang w:val="en-AU" w:bidi="ar-SA"/>
        </w:rPr>
        <w:t xml:space="preserve">The </w:t>
      </w:r>
      <w:r>
        <w:rPr>
          <w:rFonts w:eastAsia="Calibri" w:cs="Arial"/>
          <w:bCs/>
          <w:szCs w:val="22"/>
          <w:lang w:val="en-AU" w:bidi="ar-SA"/>
        </w:rPr>
        <w:t xml:space="preserve">approved draft </w:t>
      </w:r>
      <w:r w:rsidRPr="00D13E34">
        <w:rPr>
          <w:rFonts w:eastAsia="Calibri" w:cs="Arial"/>
          <w:bCs/>
          <w:szCs w:val="22"/>
          <w:lang w:val="en-AU" w:bidi="ar-SA"/>
        </w:rPr>
        <w:t>variation do</w:t>
      </w:r>
      <w:r>
        <w:rPr>
          <w:rFonts w:eastAsia="Calibri" w:cs="Arial"/>
          <w:bCs/>
          <w:szCs w:val="22"/>
          <w:lang w:val="en-AU" w:bidi="ar-SA"/>
        </w:rPr>
        <w:t>es</w:t>
      </w:r>
      <w:r w:rsidRPr="00D13E34">
        <w:rPr>
          <w:rFonts w:eastAsia="Calibri" w:cs="Arial"/>
          <w:bCs/>
          <w:szCs w:val="22"/>
          <w:lang w:val="en-AU" w:bidi="ar-SA"/>
        </w:rPr>
        <w:t xml:space="preserve"> not incorporate any documents by reference</w:t>
      </w:r>
      <w:r w:rsidR="00456BD5" w:rsidRPr="00D13E34">
        <w:rPr>
          <w:rFonts w:eastAsia="Calibri" w:cs="Arial"/>
          <w:bCs/>
          <w:szCs w:val="22"/>
          <w:lang w:val="en-AU" w:bidi="ar-SA"/>
        </w:rPr>
        <w:t>.</w:t>
      </w:r>
    </w:p>
    <w:p w14:paraId="29807766" w14:textId="77777777" w:rsidR="003A5F90" w:rsidRDefault="00861FA8" w:rsidP="00403A64">
      <w:pPr>
        <w:widowControl/>
        <w:autoSpaceDE w:val="0"/>
        <w:autoSpaceDN w:val="0"/>
        <w:adjustRightInd w:val="0"/>
        <w:spacing w:before="120" w:after="120"/>
        <w:jc w:val="both"/>
        <w:rPr>
          <w:rFonts w:eastAsia="Calibri" w:cs="Arial"/>
          <w:bCs/>
          <w:szCs w:val="22"/>
          <w:lang w:val="en-AU" w:bidi="ar-SA"/>
        </w:rPr>
      </w:pPr>
      <w:r w:rsidRPr="00224B3E">
        <w:rPr>
          <w:rFonts w:eastAsia="Calibri" w:cs="Arial"/>
          <w:bCs/>
          <w:szCs w:val="22"/>
          <w:lang w:val="en-AU" w:bidi="ar-SA"/>
        </w:rPr>
        <w:t xml:space="preserve">However, the </w:t>
      </w:r>
      <w:r w:rsidR="00BA77C9">
        <w:rPr>
          <w:rFonts w:eastAsia="Calibri" w:cs="Arial"/>
          <w:bCs/>
          <w:szCs w:val="22"/>
          <w:lang w:val="en-AU" w:bidi="ar-SA"/>
        </w:rPr>
        <w:t xml:space="preserve">approved </w:t>
      </w:r>
      <w:r>
        <w:rPr>
          <w:rFonts w:eastAsia="Calibri" w:cs="Arial"/>
          <w:bCs/>
          <w:szCs w:val="22"/>
          <w:lang w:val="en-AU" w:bidi="ar-SA"/>
        </w:rPr>
        <w:t>draft variation</w:t>
      </w:r>
      <w:r w:rsidRPr="00224B3E">
        <w:rPr>
          <w:rFonts w:eastAsia="Calibri" w:cs="Arial"/>
          <w:bCs/>
          <w:szCs w:val="22"/>
          <w:lang w:val="en-AU" w:bidi="ar-SA"/>
        </w:rPr>
        <w:t xml:space="preserve"> will vary Schedule 3 of the Code which does incorporate documents by reference. Section 1.1.1—15 of the Code requires certain substances </w:t>
      </w:r>
      <w:r>
        <w:rPr>
          <w:rFonts w:eastAsia="Calibri" w:cs="Arial"/>
          <w:bCs/>
          <w:szCs w:val="22"/>
          <w:lang w:val="en-AU" w:bidi="ar-SA"/>
        </w:rPr>
        <w:t xml:space="preserve">(such as substances used as nutritive substances) </w:t>
      </w:r>
      <w:r w:rsidRPr="00224B3E">
        <w:rPr>
          <w:rFonts w:eastAsia="Calibri" w:cs="Arial"/>
          <w:bCs/>
          <w:szCs w:val="22"/>
          <w:lang w:val="en-AU" w:bidi="ar-SA"/>
        </w:rPr>
        <w:t>to comply with any relevant identity and purity specifications list</w:t>
      </w:r>
      <w:r>
        <w:rPr>
          <w:rFonts w:eastAsia="Calibri" w:cs="Arial"/>
          <w:bCs/>
          <w:szCs w:val="22"/>
          <w:lang w:val="en-AU" w:bidi="ar-SA"/>
        </w:rPr>
        <w:t>ed in Schedule 3.</w:t>
      </w:r>
      <w:r w:rsidRPr="00224B3E">
        <w:rPr>
          <w:rFonts w:eastAsia="Calibri" w:cs="Arial"/>
          <w:bCs/>
          <w:szCs w:val="22"/>
          <w:lang w:val="en-AU" w:bidi="ar-SA"/>
        </w:rPr>
        <w:t xml:space="preserve"> </w:t>
      </w:r>
    </w:p>
    <w:p w14:paraId="6DA3F12E" w14:textId="5846A6F9" w:rsidR="00456BD5" w:rsidRPr="005F2A8C" w:rsidRDefault="00861FA8" w:rsidP="00403A64">
      <w:pPr>
        <w:widowControl/>
        <w:autoSpaceDE w:val="0"/>
        <w:autoSpaceDN w:val="0"/>
        <w:adjustRightInd w:val="0"/>
        <w:spacing w:before="120" w:after="120"/>
        <w:jc w:val="both"/>
        <w:rPr>
          <w:rFonts w:eastAsia="Calibri" w:cs="Arial"/>
          <w:bCs/>
          <w:szCs w:val="22"/>
          <w:lang w:val="en-AU" w:bidi="ar-SA"/>
        </w:rPr>
      </w:pPr>
      <w:r w:rsidRPr="00224B3E">
        <w:rPr>
          <w:rFonts w:eastAsia="Calibri" w:cs="Arial"/>
          <w:bCs/>
          <w:szCs w:val="22"/>
          <w:lang w:val="en-AU" w:bidi="ar-SA"/>
        </w:rPr>
        <w:t xml:space="preserve">Schedule 3 incorporates documents by reference to set specifications for various substances in the circumstances specified in that Schedule.  The documents incorporated include: the Joint FAO/WHO Expert Committee on Food Additives (JECFA) Compendium of Food Additive Specifications (FAO/WHO </w:t>
      </w:r>
      <w:r w:rsidR="009538CD" w:rsidRPr="00224B3E">
        <w:rPr>
          <w:rFonts w:eastAsia="Calibri" w:cs="Arial"/>
          <w:bCs/>
          <w:szCs w:val="22"/>
          <w:lang w:val="en-AU" w:bidi="ar-SA"/>
        </w:rPr>
        <w:t>201</w:t>
      </w:r>
      <w:r w:rsidR="009538CD">
        <w:rPr>
          <w:rFonts w:eastAsia="Calibri" w:cs="Arial"/>
          <w:bCs/>
          <w:szCs w:val="22"/>
          <w:lang w:val="en-AU" w:bidi="ar-SA"/>
        </w:rPr>
        <w:t>9</w:t>
      </w:r>
      <w:r w:rsidRPr="00224B3E">
        <w:rPr>
          <w:rFonts w:eastAsia="Calibri" w:cs="Arial"/>
          <w:bCs/>
          <w:szCs w:val="22"/>
          <w:lang w:val="en-AU" w:bidi="ar-SA"/>
        </w:rPr>
        <w:t>); the United States Pharmacopeial Convention (</w:t>
      </w:r>
      <w:r w:rsidR="009538CD" w:rsidRPr="00224B3E">
        <w:rPr>
          <w:rFonts w:eastAsia="Calibri" w:cs="Arial"/>
          <w:bCs/>
          <w:szCs w:val="22"/>
          <w:lang w:val="en-AU" w:bidi="ar-SA"/>
        </w:rPr>
        <w:t>20</w:t>
      </w:r>
      <w:r w:rsidR="009538CD">
        <w:rPr>
          <w:rFonts w:eastAsia="Calibri" w:cs="Arial"/>
          <w:bCs/>
          <w:szCs w:val="22"/>
          <w:lang w:val="en-AU" w:bidi="ar-SA"/>
        </w:rPr>
        <w:t>20</w:t>
      </w:r>
      <w:r w:rsidRPr="00224B3E">
        <w:rPr>
          <w:rFonts w:eastAsia="Calibri" w:cs="Arial"/>
          <w:bCs/>
          <w:szCs w:val="22"/>
          <w:lang w:val="en-AU" w:bidi="ar-SA"/>
        </w:rPr>
        <w:t>) Food Chemicals Codex (1</w:t>
      </w:r>
      <w:r w:rsidR="009538CD">
        <w:rPr>
          <w:rFonts w:eastAsia="Calibri" w:cs="Arial"/>
          <w:bCs/>
          <w:szCs w:val="22"/>
          <w:lang w:val="en-AU" w:bidi="ar-SA"/>
        </w:rPr>
        <w:t>2</w:t>
      </w:r>
      <w:r w:rsidRPr="00224B3E">
        <w:rPr>
          <w:rFonts w:eastAsia="Calibri" w:cs="Arial"/>
          <w:bCs/>
          <w:szCs w:val="22"/>
          <w:lang w:val="en-AU" w:bidi="ar-SA"/>
        </w:rPr>
        <w:t>th edition); and the Commission Regulation (EU) No 231/2012.</w:t>
      </w:r>
    </w:p>
    <w:p w14:paraId="50B668E6" w14:textId="4B0642FD" w:rsidR="00456BD5" w:rsidRPr="005F2A8C" w:rsidRDefault="0039229F" w:rsidP="00403A64">
      <w:pPr>
        <w:spacing w:before="120" w:after="120"/>
        <w:jc w:val="both"/>
        <w:rPr>
          <w:b/>
          <w:lang w:val="en-AU" w:eastAsia="en-GB" w:bidi="ar-SA"/>
        </w:rPr>
      </w:pPr>
      <w:r>
        <w:rPr>
          <w:b/>
          <w:lang w:val="en-AU" w:eastAsia="en-GB" w:bidi="ar-SA"/>
        </w:rPr>
        <w:t>5</w:t>
      </w:r>
      <w:r w:rsidR="00456BD5" w:rsidRPr="000576EB">
        <w:rPr>
          <w:b/>
          <w:lang w:val="en-AU" w:eastAsia="en-GB" w:bidi="ar-SA"/>
        </w:rPr>
        <w:t>.</w:t>
      </w:r>
      <w:r w:rsidR="00456BD5" w:rsidRPr="000576EB">
        <w:rPr>
          <w:b/>
          <w:lang w:val="en-AU" w:eastAsia="en-GB" w:bidi="ar-SA"/>
        </w:rPr>
        <w:tab/>
        <w:t>Consu</w:t>
      </w:r>
      <w:r w:rsidR="005F2A8C">
        <w:rPr>
          <w:b/>
          <w:lang w:val="en-AU" w:eastAsia="en-GB" w:bidi="ar-SA"/>
        </w:rPr>
        <w:t>ltation</w:t>
      </w:r>
    </w:p>
    <w:p w14:paraId="662A67C8" w14:textId="2C778567" w:rsidR="00456BD5" w:rsidRPr="00861FA8" w:rsidRDefault="00861FA8" w:rsidP="00403A64">
      <w:pPr>
        <w:spacing w:before="120" w:after="120"/>
        <w:jc w:val="both"/>
        <w:rPr>
          <w:color w:val="FF0000"/>
          <w:lang w:val="en-AU"/>
        </w:rPr>
      </w:pPr>
      <w:r>
        <w:rPr>
          <w:szCs w:val="22"/>
        </w:rPr>
        <w:t xml:space="preserve">In accordance with the procedure in Division 1 of Part 3 of the FSANZ Act, </w:t>
      </w:r>
      <w:r>
        <w:rPr>
          <w:rFonts w:eastAsia="Calibri" w:cs="Arial"/>
          <w:bCs/>
          <w:szCs w:val="22"/>
          <w:lang w:val="en-AU" w:bidi="ar-SA"/>
        </w:rPr>
        <w:t>the Authority</w:t>
      </w:r>
      <w:r>
        <w:rPr>
          <w:szCs w:val="22"/>
        </w:rPr>
        <w:t xml:space="preserve">’s consideration of </w:t>
      </w:r>
      <w:r w:rsidR="00A36BDE">
        <w:rPr>
          <w:szCs w:val="22"/>
        </w:rPr>
        <w:t xml:space="preserve">application </w:t>
      </w:r>
      <w:r w:rsidR="00953852">
        <w:rPr>
          <w:szCs w:val="22"/>
        </w:rPr>
        <w:t xml:space="preserve">A1233 </w:t>
      </w:r>
      <w:r w:rsidRPr="00E36175">
        <w:rPr>
          <w:szCs w:val="22"/>
        </w:rPr>
        <w:t xml:space="preserve">included one round of public </w:t>
      </w:r>
      <w:r w:rsidR="00456BD5" w:rsidRPr="00E36175">
        <w:rPr>
          <w:szCs w:val="22"/>
        </w:rPr>
        <w:t xml:space="preserve">consultation following an assessment and the preparation of a draft </w:t>
      </w:r>
      <w:r w:rsidR="00172C55">
        <w:rPr>
          <w:szCs w:val="22"/>
        </w:rPr>
        <w:t>variation</w:t>
      </w:r>
      <w:r w:rsidR="00172C55" w:rsidRPr="00E36175">
        <w:rPr>
          <w:szCs w:val="22"/>
        </w:rPr>
        <w:t xml:space="preserve"> </w:t>
      </w:r>
      <w:r w:rsidR="00456BD5" w:rsidRPr="00E36175">
        <w:rPr>
          <w:szCs w:val="22"/>
        </w:rPr>
        <w:t xml:space="preserve">and associated report. Submissions were called for on </w:t>
      </w:r>
      <w:r w:rsidR="003A5F90">
        <w:rPr>
          <w:szCs w:val="22"/>
        </w:rPr>
        <w:t>6 December 2021</w:t>
      </w:r>
      <w:r w:rsidR="00456BD5" w:rsidRPr="00E36175">
        <w:rPr>
          <w:szCs w:val="22"/>
        </w:rPr>
        <w:t xml:space="preserve"> for a</w:t>
      </w:r>
      <w:r w:rsidR="003A5F90">
        <w:rPr>
          <w:szCs w:val="22"/>
        </w:rPr>
        <w:t>n</w:t>
      </w:r>
      <w:r w:rsidR="00456BD5" w:rsidRPr="00E36175">
        <w:rPr>
          <w:szCs w:val="22"/>
        </w:rPr>
        <w:t xml:space="preserve"> </w:t>
      </w:r>
      <w:r w:rsidR="003A5F90">
        <w:rPr>
          <w:szCs w:val="22"/>
        </w:rPr>
        <w:t>eight</w:t>
      </w:r>
      <w:r w:rsidR="00456BD5" w:rsidRPr="00E36175">
        <w:rPr>
          <w:szCs w:val="22"/>
        </w:rPr>
        <w:t xml:space="preserve">-week consultation period. </w:t>
      </w:r>
    </w:p>
    <w:p w14:paraId="3711262A" w14:textId="718BD67A" w:rsidR="00456BD5" w:rsidRPr="005F2A8C" w:rsidRDefault="00861FA8" w:rsidP="00403A64">
      <w:pPr>
        <w:widowControl/>
        <w:spacing w:before="120" w:after="120"/>
        <w:jc w:val="both"/>
        <w:rPr>
          <w:rFonts w:eastAsia="Calibri" w:cs="Arial"/>
          <w:bCs/>
          <w:szCs w:val="22"/>
          <w:lang w:val="en-AU" w:bidi="ar-SA"/>
        </w:rPr>
      </w:pPr>
      <w:r>
        <w:t xml:space="preserve">A Regulation Impact Statement (RIS) was not required because the Office of Best Practice Regulation (OBPR) granted </w:t>
      </w:r>
      <w:r w:rsidR="007155E2">
        <w:t xml:space="preserve">the Authority </w:t>
      </w:r>
      <w:r>
        <w:t>a standing exemption, permitting the voluntary use of genetically modified food (OBPR correspondence dated 24 November 2010, reference 12065), and the voluntary addition of nutritive substances to foods (OBPR correspondence dated 16 April 2013, reference 14943).</w:t>
      </w:r>
      <w:r w:rsidDel="00C16F80">
        <w:rPr>
          <w:rFonts w:eastAsia="Calibri" w:cs="Arial"/>
          <w:bCs/>
          <w:szCs w:val="22"/>
          <w:lang w:val="en-AU" w:bidi="ar-SA"/>
        </w:rPr>
        <w:t xml:space="preserve"> </w:t>
      </w:r>
    </w:p>
    <w:p w14:paraId="07D41A16" w14:textId="6A9BDDD1" w:rsidR="00456BD5" w:rsidRPr="005F2A8C" w:rsidRDefault="0039229F" w:rsidP="00403A64">
      <w:pPr>
        <w:widowControl/>
        <w:spacing w:before="120" w:after="120"/>
        <w:jc w:val="both"/>
        <w:rPr>
          <w:rFonts w:eastAsiaTheme="minorHAnsi" w:cs="Arial"/>
          <w:b/>
          <w:bCs/>
          <w:szCs w:val="22"/>
          <w:lang w:val="en-AU" w:bidi="ar-SA"/>
        </w:rPr>
      </w:pPr>
      <w:r>
        <w:rPr>
          <w:rFonts w:eastAsiaTheme="minorHAnsi" w:cs="Arial"/>
          <w:b/>
          <w:bCs/>
          <w:szCs w:val="22"/>
          <w:lang w:val="en-AU" w:bidi="ar-SA"/>
        </w:rPr>
        <w:t>6</w:t>
      </w:r>
      <w:r w:rsidR="00456BD5">
        <w:rPr>
          <w:rFonts w:eastAsiaTheme="minorHAnsi" w:cs="Arial"/>
          <w:b/>
          <w:bCs/>
          <w:szCs w:val="22"/>
          <w:lang w:val="en-AU" w:bidi="ar-SA"/>
        </w:rPr>
        <w:t>.</w:t>
      </w:r>
      <w:r w:rsidR="00456BD5">
        <w:rPr>
          <w:rFonts w:eastAsiaTheme="minorHAnsi" w:cs="Arial"/>
          <w:b/>
          <w:bCs/>
          <w:szCs w:val="22"/>
          <w:lang w:val="en-AU" w:bidi="ar-SA"/>
        </w:rPr>
        <w:tab/>
        <w:t>Statement of compatibility with h</w:t>
      </w:r>
      <w:r w:rsidR="005F2A8C">
        <w:rPr>
          <w:rFonts w:eastAsiaTheme="minorHAnsi" w:cs="Arial"/>
          <w:b/>
          <w:bCs/>
          <w:szCs w:val="22"/>
          <w:lang w:val="en-AU" w:bidi="ar-SA"/>
        </w:rPr>
        <w:t>uman rights</w:t>
      </w:r>
    </w:p>
    <w:p w14:paraId="720FDF70" w14:textId="01C1228C" w:rsidR="00456BD5" w:rsidRDefault="00456BD5" w:rsidP="00403A64">
      <w:pPr>
        <w:spacing w:before="120" w:after="120"/>
        <w:jc w:val="both"/>
        <w:rPr>
          <w:rFonts w:eastAsiaTheme="minorHAnsi"/>
          <w:lang w:val="en-AU" w:bidi="ar-SA"/>
        </w:rPr>
      </w:pPr>
      <w:r>
        <w:rPr>
          <w:rFonts w:eastAsiaTheme="minorHAnsi"/>
          <w:lang w:val="en-AU" w:bidi="ar-SA"/>
        </w:rPr>
        <w:t xml:space="preserve">This instrument is exempt from the requirements for a statement of compatibility with human rights as it is a non-disallowable instrument </w:t>
      </w:r>
      <w:r w:rsidR="003A5F90">
        <w:rPr>
          <w:rFonts w:eastAsiaTheme="minorHAnsi"/>
          <w:lang w:val="en-AU" w:bidi="ar-SA"/>
        </w:rPr>
        <w:t xml:space="preserve">under section </w:t>
      </w:r>
      <w:r w:rsidR="003A5F90" w:rsidRPr="00D00473">
        <w:rPr>
          <w:rFonts w:eastAsiaTheme="minorHAnsi"/>
          <w:lang w:val="en-AU" w:bidi="ar-SA"/>
        </w:rPr>
        <w:t xml:space="preserve">44 of the </w:t>
      </w:r>
      <w:r w:rsidR="003A5F90" w:rsidRPr="00D00473">
        <w:rPr>
          <w:rFonts w:cs="Arial"/>
          <w:i/>
          <w:iCs/>
        </w:rPr>
        <w:t>Legislation Act 2003</w:t>
      </w:r>
      <w:r w:rsidR="003A5F90">
        <w:rPr>
          <w:rFonts w:eastAsiaTheme="minorHAnsi"/>
          <w:lang w:val="en-AU" w:bidi="ar-SA"/>
        </w:rPr>
        <w:t>.</w:t>
      </w:r>
      <w:r w:rsidR="007952E4" w:rsidDel="007952E4">
        <w:rPr>
          <w:rFonts w:eastAsiaTheme="minorHAnsi"/>
          <w:lang w:val="en-AU" w:bidi="ar-SA"/>
        </w:rPr>
        <w:t xml:space="preserve"> </w:t>
      </w:r>
    </w:p>
    <w:p w14:paraId="03B36AA7" w14:textId="08DF1017" w:rsidR="00456BD5" w:rsidRDefault="0039229F" w:rsidP="00510B7A">
      <w:pPr>
        <w:spacing w:before="120" w:after="120"/>
        <w:rPr>
          <w:b/>
          <w:lang w:val="en-AU" w:eastAsia="en-GB" w:bidi="ar-SA"/>
        </w:rPr>
      </w:pPr>
      <w:r>
        <w:rPr>
          <w:b/>
        </w:rPr>
        <w:t>7</w:t>
      </w:r>
      <w:r w:rsidR="00456BD5" w:rsidRPr="00432A42">
        <w:rPr>
          <w:b/>
        </w:rPr>
        <w:t>.</w:t>
      </w:r>
      <w:r w:rsidR="00456BD5" w:rsidRPr="00432A42">
        <w:rPr>
          <w:b/>
        </w:rPr>
        <w:tab/>
      </w:r>
      <w:r w:rsidR="00456BD5">
        <w:rPr>
          <w:b/>
          <w:lang w:val="en-AU" w:eastAsia="en-GB" w:bidi="ar-SA"/>
        </w:rPr>
        <w:t>Variation</w:t>
      </w:r>
    </w:p>
    <w:p w14:paraId="7078F6E1" w14:textId="7B3F652D" w:rsidR="00037C43" w:rsidRPr="00861FA8" w:rsidRDefault="00037C43" w:rsidP="00155DA4">
      <w:pPr>
        <w:widowControl/>
        <w:spacing w:before="120" w:after="120"/>
        <w:jc w:val="both"/>
        <w:rPr>
          <w:b/>
          <w:lang w:val="en-AU" w:eastAsia="en-GB" w:bidi="ar-SA"/>
        </w:rPr>
      </w:pPr>
      <w:r w:rsidRPr="00284DCC">
        <w:t>The amendments in the Schedule</w:t>
      </w:r>
      <w:r>
        <w:t xml:space="preserve"> </w:t>
      </w:r>
      <w:r w:rsidRPr="00284DCC">
        <w:t>take effect in nume</w:t>
      </w:r>
      <w:r>
        <w:t>rical order i.e. according to item and sub-item numbers.</w:t>
      </w:r>
    </w:p>
    <w:p w14:paraId="3E642A26" w14:textId="798E9C07" w:rsidR="0039229F" w:rsidRDefault="0039229F" w:rsidP="007952E4">
      <w:pPr>
        <w:widowControl/>
        <w:spacing w:before="0" w:beforeAutospacing="0" w:after="0" w:afterAutospacing="0"/>
        <w:jc w:val="both"/>
      </w:pPr>
      <w:r w:rsidRPr="00155DA4">
        <w:rPr>
          <w:b/>
        </w:rPr>
        <w:t>Item [1]</w:t>
      </w:r>
      <w:r>
        <w:t xml:space="preserve"> of the Schedule varies Schedule 3 of the Code.</w:t>
      </w:r>
    </w:p>
    <w:p w14:paraId="6F04C136" w14:textId="02A94307" w:rsidR="0039229F" w:rsidRDefault="0039229F" w:rsidP="007952E4">
      <w:pPr>
        <w:widowControl/>
        <w:spacing w:before="0" w:beforeAutospacing="0" w:after="0" w:afterAutospacing="0"/>
        <w:jc w:val="both"/>
      </w:pPr>
    </w:p>
    <w:p w14:paraId="327D1A9E" w14:textId="228BAC2D" w:rsidR="0039229F" w:rsidRDefault="0039229F" w:rsidP="007952E4">
      <w:pPr>
        <w:widowControl/>
        <w:spacing w:before="0" w:beforeAutospacing="0" w:after="0" w:afterAutospacing="0"/>
      </w:pPr>
      <w:r w:rsidRPr="00592D97">
        <w:rPr>
          <w:rFonts w:eastAsia="Calibri" w:cs="Arial"/>
          <w:bCs/>
          <w:szCs w:val="22"/>
          <w:lang w:val="en-AU" w:bidi="ar-SA"/>
        </w:rPr>
        <w:t>Schedule 3 contains specifications for the purposes of section 1.1.1—15</w:t>
      </w:r>
      <w:r>
        <w:rPr>
          <w:rFonts w:eastAsia="Calibri" w:cs="Arial"/>
          <w:bCs/>
          <w:szCs w:val="22"/>
          <w:lang w:val="en-AU" w:bidi="ar-SA"/>
        </w:rPr>
        <w:t xml:space="preserve"> of the Code. Section 1.1.1—15 requires </w:t>
      </w:r>
      <w:r w:rsidRPr="00592D97">
        <w:rPr>
          <w:rFonts w:eastAsia="Calibri" w:cs="Arial"/>
          <w:bCs/>
          <w:szCs w:val="22"/>
          <w:lang w:val="en-AU" w:bidi="ar-SA"/>
        </w:rPr>
        <w:t xml:space="preserve">certain substances, e.g. substances used as nutritive substances, </w:t>
      </w:r>
      <w:r w:rsidRPr="00592D97">
        <w:rPr>
          <w:rFonts w:eastAsia="Calibri" w:cs="Arial"/>
          <w:bCs/>
          <w:szCs w:val="22"/>
          <w:lang w:val="en-AU" w:bidi="ar-SA"/>
        </w:rPr>
        <w:lastRenderedPageBreak/>
        <w:t xml:space="preserve">to comply with any relevant identity and purity specifications listed in Schedule 3. </w:t>
      </w:r>
      <w:r>
        <w:rPr>
          <w:rFonts w:eastAsia="Calibri" w:cs="Arial"/>
          <w:bCs/>
          <w:szCs w:val="22"/>
          <w:lang w:val="en-AU" w:bidi="ar-SA"/>
        </w:rPr>
        <w:t xml:space="preserve">The specifications listed in Schedule 3 </w:t>
      </w:r>
      <w:r w:rsidRPr="00592D97">
        <w:rPr>
          <w:rFonts w:eastAsia="Calibri" w:cs="Arial"/>
          <w:bCs/>
          <w:szCs w:val="22"/>
          <w:lang w:val="en-AU" w:bidi="ar-SA"/>
        </w:rPr>
        <w:t xml:space="preserve">include those set out in provisions which are listed in the table to </w:t>
      </w:r>
      <w:r w:rsidRPr="00592D97">
        <w:t>subsection S3—2(2)</w:t>
      </w:r>
      <w:r w:rsidRPr="00592D97">
        <w:rPr>
          <w:rFonts w:eastAsia="Calibri" w:cs="Arial"/>
          <w:bCs/>
          <w:szCs w:val="22"/>
          <w:lang w:val="en-AU" w:bidi="ar-SA"/>
        </w:rPr>
        <w:t xml:space="preserve"> (see paragraph S3—2(1)(a))</w:t>
      </w:r>
      <w:r>
        <w:rPr>
          <w:rFonts w:eastAsia="Calibri" w:cs="Arial"/>
          <w:bCs/>
          <w:szCs w:val="22"/>
          <w:lang w:val="en-AU" w:bidi="ar-SA"/>
        </w:rPr>
        <w:t>.</w:t>
      </w:r>
    </w:p>
    <w:p w14:paraId="2E76304C" w14:textId="5BAAFDF7" w:rsidR="0039229F" w:rsidRDefault="0039229F" w:rsidP="007952E4">
      <w:pPr>
        <w:widowControl/>
        <w:spacing w:before="0" w:beforeAutospacing="0" w:after="0" w:afterAutospacing="0"/>
        <w:jc w:val="both"/>
      </w:pPr>
    </w:p>
    <w:p w14:paraId="49DDD328" w14:textId="567DCB80" w:rsidR="0039229F" w:rsidRDefault="0039229F" w:rsidP="007952E4">
      <w:pPr>
        <w:widowControl/>
        <w:spacing w:before="0" w:beforeAutospacing="0" w:after="0" w:afterAutospacing="0"/>
        <w:jc w:val="both"/>
        <w:rPr>
          <w:rFonts w:eastAsia="Calibri"/>
          <w:szCs w:val="22"/>
          <w:lang w:bidi="ar-SA"/>
        </w:rPr>
      </w:pPr>
      <w:r w:rsidRPr="0001100E">
        <w:rPr>
          <w:szCs w:val="22"/>
        </w:rPr>
        <w:t xml:space="preserve">Item [1.1] amends the </w:t>
      </w:r>
      <w:r w:rsidRPr="0001100E">
        <w:rPr>
          <w:rFonts w:eastAsia="Calibri" w:cs="Arial"/>
          <w:bCs/>
          <w:szCs w:val="22"/>
          <w:lang w:val="en-AU" w:bidi="ar-SA"/>
        </w:rPr>
        <w:t xml:space="preserve">table to </w:t>
      </w:r>
      <w:r w:rsidRPr="0001100E">
        <w:rPr>
          <w:szCs w:val="22"/>
        </w:rPr>
        <w:t>subsection S3—2(2)</w:t>
      </w:r>
      <w:r w:rsidR="00B62B49" w:rsidRPr="0001100E">
        <w:rPr>
          <w:szCs w:val="22"/>
        </w:rPr>
        <w:t xml:space="preserve">. It amends the </w:t>
      </w:r>
      <w:r w:rsidRPr="0001100E">
        <w:rPr>
          <w:szCs w:val="22"/>
        </w:rPr>
        <w:t xml:space="preserve">entry in that table </w:t>
      </w:r>
      <w:r w:rsidRPr="0001100E">
        <w:rPr>
          <w:rFonts w:eastAsia="Calibri" w:cs="Arial"/>
          <w:bCs/>
          <w:szCs w:val="22"/>
          <w:lang w:val="en-AU" w:bidi="ar-SA"/>
        </w:rPr>
        <w:t xml:space="preserve">for </w:t>
      </w:r>
      <w:r w:rsidR="00B62B49" w:rsidRPr="0001100E">
        <w:rPr>
          <w:szCs w:val="22"/>
        </w:rPr>
        <w:t xml:space="preserve">section S3—40 by </w:t>
      </w:r>
      <w:r w:rsidR="00F2042B">
        <w:rPr>
          <w:szCs w:val="22"/>
        </w:rPr>
        <w:t>replacing</w:t>
      </w:r>
      <w:r w:rsidR="00B62B49" w:rsidRPr="0001100E">
        <w:rPr>
          <w:szCs w:val="22"/>
        </w:rPr>
        <w:t xml:space="preserve"> the words ‘</w:t>
      </w:r>
      <w:r w:rsidR="00B62B49" w:rsidRPr="007952E4">
        <w:rPr>
          <w:rFonts w:cs="Arial"/>
          <w:color w:val="000000"/>
          <w:szCs w:val="22"/>
          <w:shd w:val="clear" w:color="auto" w:fill="FFFFFF"/>
        </w:rPr>
        <w:t>2</w:t>
      </w:r>
      <w:r w:rsidR="00B62B49" w:rsidRPr="007952E4">
        <w:rPr>
          <w:rFonts w:cs="Arial"/>
          <w:i/>
          <w:iCs/>
          <w:color w:val="000000"/>
          <w:szCs w:val="22"/>
          <w:shd w:val="clear" w:color="auto" w:fill="FFFFFF"/>
        </w:rPr>
        <w:t>′-</w:t>
      </w:r>
      <w:r w:rsidR="00B62B49" w:rsidRPr="007952E4">
        <w:rPr>
          <w:rFonts w:cs="Arial"/>
          <w:color w:val="000000"/>
          <w:szCs w:val="22"/>
          <w:shd w:val="clear" w:color="auto" w:fill="FFFFFF"/>
        </w:rPr>
        <w:t>fucosyllactose sourced from </w:t>
      </w:r>
      <w:r w:rsidR="00B62B49" w:rsidRPr="007952E4">
        <w:rPr>
          <w:rFonts w:cs="Arial"/>
          <w:i/>
          <w:iCs/>
          <w:color w:val="000000"/>
          <w:szCs w:val="22"/>
          <w:shd w:val="clear" w:color="auto" w:fill="FFFFFF"/>
        </w:rPr>
        <w:t>Escherichia coli </w:t>
      </w:r>
      <w:r w:rsidR="00B62B49" w:rsidRPr="007952E4">
        <w:rPr>
          <w:rFonts w:cs="Arial"/>
          <w:color w:val="000000"/>
          <w:szCs w:val="22"/>
          <w:shd w:val="clear" w:color="auto" w:fill="FFFFFF"/>
        </w:rPr>
        <w:t xml:space="preserve">K-12’ </w:t>
      </w:r>
      <w:r w:rsidR="00B62B49" w:rsidRPr="0001100E">
        <w:rPr>
          <w:szCs w:val="22"/>
        </w:rPr>
        <w:t>with</w:t>
      </w:r>
      <w:r w:rsidRPr="0001100E">
        <w:rPr>
          <w:rFonts w:eastAsia="Calibri"/>
          <w:szCs w:val="22"/>
          <w:lang w:bidi="ar-SA"/>
        </w:rPr>
        <w:t xml:space="preserve"> ‘</w:t>
      </w:r>
      <w:r w:rsidR="00B62B49" w:rsidRPr="0001100E">
        <w:rPr>
          <w:szCs w:val="22"/>
        </w:rPr>
        <w:t>2</w:t>
      </w:r>
      <w:r w:rsidR="00B62B49" w:rsidRPr="0001100E">
        <w:rPr>
          <w:i/>
          <w:szCs w:val="22"/>
        </w:rPr>
        <w:t>′-</w:t>
      </w:r>
      <w:r w:rsidR="00B62B49" w:rsidRPr="0001100E">
        <w:rPr>
          <w:szCs w:val="22"/>
        </w:rPr>
        <w:t xml:space="preserve">fucosyllactose sourced from </w:t>
      </w:r>
      <w:r w:rsidR="00B62B49" w:rsidRPr="0001100E">
        <w:rPr>
          <w:i/>
          <w:szCs w:val="22"/>
        </w:rPr>
        <w:t xml:space="preserve">Escherichia coli </w:t>
      </w:r>
      <w:r w:rsidR="00B62B49" w:rsidRPr="0001100E">
        <w:rPr>
          <w:szCs w:val="22"/>
        </w:rPr>
        <w:t>K-12 containing the gene for alpha-1,2-fucosyltransferase from either</w:t>
      </w:r>
      <w:r w:rsidR="00B62B49" w:rsidRPr="0001100E">
        <w:rPr>
          <w:i/>
          <w:szCs w:val="22"/>
        </w:rPr>
        <w:t xml:space="preserve"> Helicobacter pylori</w:t>
      </w:r>
      <w:r w:rsidR="00B62B49" w:rsidRPr="0001100E">
        <w:rPr>
          <w:szCs w:val="22"/>
        </w:rPr>
        <w:t xml:space="preserve"> or </w:t>
      </w:r>
      <w:r w:rsidR="00B62B49" w:rsidRPr="0001100E">
        <w:rPr>
          <w:i/>
          <w:szCs w:val="22"/>
        </w:rPr>
        <w:t>Bacteroides vulgatus’</w:t>
      </w:r>
      <w:r w:rsidRPr="00FA1DB3">
        <w:rPr>
          <w:rFonts w:eastAsia="Calibri"/>
          <w:szCs w:val="22"/>
          <w:lang w:bidi="ar-SA"/>
        </w:rPr>
        <w:t>.</w:t>
      </w:r>
      <w:r w:rsidR="00B62B49">
        <w:rPr>
          <w:rFonts w:eastAsia="Calibri"/>
          <w:szCs w:val="22"/>
          <w:lang w:bidi="ar-SA"/>
        </w:rPr>
        <w:t xml:space="preserve"> </w:t>
      </w:r>
      <w:r w:rsidR="00F2042B">
        <w:rPr>
          <w:rFonts w:eastAsia="Calibri"/>
          <w:szCs w:val="22"/>
          <w:lang w:bidi="ar-SA"/>
        </w:rPr>
        <w:t>This amendment is a consequence of the amendment made by item [1.2] below.</w:t>
      </w:r>
    </w:p>
    <w:p w14:paraId="21A25DCD" w14:textId="35D6DB33" w:rsidR="00B62B49" w:rsidRDefault="00B62B49" w:rsidP="007952E4">
      <w:pPr>
        <w:widowControl/>
        <w:spacing w:before="0" w:beforeAutospacing="0" w:after="0" w:afterAutospacing="0"/>
        <w:jc w:val="both"/>
        <w:rPr>
          <w:rFonts w:eastAsia="Calibri"/>
          <w:szCs w:val="22"/>
          <w:lang w:bidi="ar-SA"/>
        </w:rPr>
      </w:pPr>
    </w:p>
    <w:p w14:paraId="0EA4129D" w14:textId="120538C9" w:rsidR="00B62B49" w:rsidRDefault="00B62B49" w:rsidP="007952E4">
      <w:pPr>
        <w:widowControl/>
        <w:spacing w:before="0" w:beforeAutospacing="0" w:after="0" w:afterAutospacing="0"/>
        <w:jc w:val="both"/>
        <w:rPr>
          <w:i/>
          <w:szCs w:val="22"/>
        </w:rPr>
      </w:pPr>
      <w:r w:rsidRPr="0035210F">
        <w:rPr>
          <w:szCs w:val="22"/>
        </w:rPr>
        <w:t xml:space="preserve">Item </w:t>
      </w:r>
      <w:r w:rsidR="00F2042B">
        <w:rPr>
          <w:szCs w:val="22"/>
        </w:rPr>
        <w:t>[1.2</w:t>
      </w:r>
      <w:r>
        <w:rPr>
          <w:szCs w:val="22"/>
        </w:rPr>
        <w:t xml:space="preserve">] repeals and replaces section </w:t>
      </w:r>
      <w:r w:rsidRPr="0035210F">
        <w:rPr>
          <w:szCs w:val="22"/>
        </w:rPr>
        <w:t>S3—40</w:t>
      </w:r>
      <w:r w:rsidR="00F2042B">
        <w:rPr>
          <w:szCs w:val="22"/>
        </w:rPr>
        <w:t xml:space="preserve"> with a </w:t>
      </w:r>
      <w:r>
        <w:rPr>
          <w:szCs w:val="22"/>
        </w:rPr>
        <w:t xml:space="preserve">new section </w:t>
      </w:r>
      <w:r w:rsidRPr="0035210F">
        <w:rPr>
          <w:szCs w:val="22"/>
        </w:rPr>
        <w:t>S3—40</w:t>
      </w:r>
      <w:r w:rsidR="00F2042B">
        <w:rPr>
          <w:szCs w:val="22"/>
        </w:rPr>
        <w:t>. The new section</w:t>
      </w:r>
      <w:r>
        <w:rPr>
          <w:szCs w:val="22"/>
        </w:rPr>
        <w:t xml:space="preserve"> </w:t>
      </w:r>
      <w:r w:rsidR="006D0569">
        <w:rPr>
          <w:szCs w:val="22"/>
        </w:rPr>
        <w:t>lists</w:t>
      </w:r>
      <w:r>
        <w:rPr>
          <w:szCs w:val="22"/>
        </w:rPr>
        <w:t xml:space="preserve"> a specification </w:t>
      </w:r>
      <w:r w:rsidR="006D0569">
        <w:rPr>
          <w:szCs w:val="22"/>
        </w:rPr>
        <w:t xml:space="preserve">for </w:t>
      </w:r>
      <w:r w:rsidR="006D0569" w:rsidRPr="0035210F">
        <w:rPr>
          <w:szCs w:val="22"/>
        </w:rPr>
        <w:t>2</w:t>
      </w:r>
      <w:r w:rsidR="006D0569" w:rsidRPr="0035210F">
        <w:rPr>
          <w:i/>
          <w:szCs w:val="22"/>
        </w:rPr>
        <w:t>′-</w:t>
      </w:r>
      <w:r w:rsidR="006D0569" w:rsidRPr="0035210F">
        <w:rPr>
          <w:szCs w:val="22"/>
        </w:rPr>
        <w:t xml:space="preserve">fucosyllactose sourced from </w:t>
      </w:r>
      <w:r w:rsidR="006D0569" w:rsidRPr="0035210F">
        <w:rPr>
          <w:i/>
          <w:szCs w:val="22"/>
        </w:rPr>
        <w:t xml:space="preserve">Escherichia coli </w:t>
      </w:r>
      <w:r w:rsidR="006D0569" w:rsidRPr="0035210F">
        <w:rPr>
          <w:szCs w:val="22"/>
        </w:rPr>
        <w:t>K-12 containing the gene for alpha-1,2-fucosyltransferase from either</w:t>
      </w:r>
      <w:r w:rsidR="006D0569" w:rsidRPr="0035210F">
        <w:rPr>
          <w:i/>
          <w:szCs w:val="22"/>
        </w:rPr>
        <w:t xml:space="preserve"> Helicobacter pylori</w:t>
      </w:r>
      <w:r w:rsidR="006D0569" w:rsidRPr="0035210F">
        <w:rPr>
          <w:szCs w:val="22"/>
        </w:rPr>
        <w:t xml:space="preserve"> or </w:t>
      </w:r>
      <w:r w:rsidR="006D0569" w:rsidRPr="0035210F">
        <w:rPr>
          <w:i/>
          <w:szCs w:val="22"/>
        </w:rPr>
        <w:t>Bacteroides vulgatus’</w:t>
      </w:r>
      <w:r w:rsidR="006D0569">
        <w:rPr>
          <w:i/>
          <w:szCs w:val="22"/>
        </w:rPr>
        <w:t>.</w:t>
      </w:r>
    </w:p>
    <w:p w14:paraId="48F1CEF7" w14:textId="6B9EFAF9" w:rsidR="006D0569" w:rsidRDefault="006D0569" w:rsidP="007952E4">
      <w:pPr>
        <w:widowControl/>
        <w:spacing w:before="0" w:beforeAutospacing="0" w:after="0" w:afterAutospacing="0"/>
        <w:jc w:val="both"/>
        <w:rPr>
          <w:i/>
          <w:szCs w:val="22"/>
        </w:rPr>
      </w:pPr>
    </w:p>
    <w:p w14:paraId="66FF59F1" w14:textId="2CFC9093" w:rsidR="006D0569" w:rsidRPr="0001100E" w:rsidRDefault="006D0569" w:rsidP="007952E4">
      <w:pPr>
        <w:widowControl/>
        <w:spacing w:before="0" w:beforeAutospacing="0" w:after="0" w:afterAutospacing="0"/>
        <w:jc w:val="both"/>
      </w:pPr>
      <w:r w:rsidRPr="00155DA4">
        <w:rPr>
          <w:b/>
          <w:szCs w:val="22"/>
        </w:rPr>
        <w:t>Item [2]</w:t>
      </w:r>
      <w:r>
        <w:rPr>
          <w:i/>
          <w:szCs w:val="22"/>
        </w:rPr>
        <w:t xml:space="preserve"> </w:t>
      </w:r>
      <w:r w:rsidRPr="00FA1DB3">
        <w:t>amend</w:t>
      </w:r>
      <w:r>
        <w:t>s</w:t>
      </w:r>
      <w:r w:rsidRPr="00FA1DB3">
        <w:t xml:space="preserve"> Schedule 26 of the Code.</w:t>
      </w:r>
    </w:p>
    <w:p w14:paraId="316A5359" w14:textId="77777777" w:rsidR="006D0569" w:rsidRPr="00FA1DB3" w:rsidRDefault="006D0569" w:rsidP="006D0569">
      <w:pPr>
        <w:widowControl/>
        <w:spacing w:before="120" w:beforeAutospacing="0" w:after="120" w:afterAutospacing="0"/>
        <w:jc w:val="both"/>
        <w:rPr>
          <w:rFonts w:eastAsia="Calibri"/>
          <w:szCs w:val="22"/>
          <w:lang w:bidi="ar-SA"/>
        </w:rPr>
      </w:pPr>
      <w:r w:rsidRPr="00FA1DB3">
        <w:rPr>
          <w:rFonts w:eastAsia="Calibri"/>
          <w:szCs w:val="22"/>
          <w:lang w:bidi="ar-SA"/>
        </w:rPr>
        <w:t xml:space="preserve">Schedule 26 relates to food produced using gene technology. </w:t>
      </w:r>
      <w:r w:rsidRPr="00FA1DB3">
        <w:rPr>
          <w:szCs w:val="22"/>
        </w:rPr>
        <w:t xml:space="preserve">2′-FL sourced </w:t>
      </w:r>
      <w:r w:rsidRPr="00FA1DB3">
        <w:rPr>
          <w:rFonts w:eastAsia="Calibri"/>
          <w:szCs w:val="22"/>
          <w:lang w:bidi="ar-SA"/>
        </w:rPr>
        <w:t xml:space="preserve">from </w:t>
      </w:r>
      <w:r w:rsidRPr="00FA1DB3">
        <w:rPr>
          <w:rFonts w:eastAsia="Calibri"/>
          <w:i/>
          <w:szCs w:val="22"/>
          <w:lang w:bidi="ar-SA"/>
        </w:rPr>
        <w:t xml:space="preserve">Escherichia coli </w:t>
      </w:r>
      <w:r w:rsidRPr="00FA1DB3">
        <w:rPr>
          <w:rFonts w:eastAsia="Calibri"/>
          <w:szCs w:val="22"/>
          <w:lang w:bidi="ar-SA"/>
        </w:rPr>
        <w:t>K-12 containing the gene for alpha</w:t>
      </w:r>
      <w:r w:rsidRPr="00FA1DB3">
        <w:rPr>
          <w:rFonts w:eastAsia="Calibri"/>
          <w:szCs w:val="18"/>
        </w:rPr>
        <w:t xml:space="preserve">-1,2-fucosyltransferase from </w:t>
      </w:r>
      <w:r w:rsidRPr="00FA1DB3">
        <w:rPr>
          <w:rFonts w:eastAsia="Calibri"/>
          <w:i/>
          <w:szCs w:val="18"/>
        </w:rPr>
        <w:t>Bacteroides vulgatus</w:t>
      </w:r>
      <w:r w:rsidRPr="00FA1DB3">
        <w:rPr>
          <w:rFonts w:eastAsia="Calibri"/>
          <w:szCs w:val="22"/>
          <w:lang w:bidi="ar-SA"/>
        </w:rPr>
        <w:t xml:space="preserve"> is a food produced using gene technology (as defined in subsection 1.1.2—2(3) of the Code) because it is derived from an organism modified using gene technology.</w:t>
      </w:r>
    </w:p>
    <w:p w14:paraId="570C3980" w14:textId="77777777" w:rsidR="006D0569" w:rsidRPr="00FA1DB3" w:rsidRDefault="006D0569" w:rsidP="006D0569">
      <w:pPr>
        <w:widowControl/>
        <w:spacing w:before="120" w:beforeAutospacing="0" w:after="120" w:afterAutospacing="0"/>
        <w:jc w:val="both"/>
        <w:rPr>
          <w:rFonts w:eastAsia="Calibri"/>
          <w:szCs w:val="22"/>
          <w:lang w:bidi="ar-SA"/>
        </w:rPr>
      </w:pPr>
      <w:r w:rsidRPr="00FA1DB3">
        <w:rPr>
          <w:rFonts w:eastAsia="Calibri"/>
          <w:szCs w:val="22"/>
          <w:lang w:bidi="ar-SA"/>
        </w:rPr>
        <w:t>Paragraph 1.5.2—3(a) permits a food for sale to consist of, or have as an ingredient, a food produced using gene technology if the food produced using gene technology (other than a processing aid or food additive) is listed in Schedule 26 and complies with any corresponding conditions in that Schedule.</w:t>
      </w:r>
    </w:p>
    <w:p w14:paraId="0B06B7DF" w14:textId="75FC9F7E" w:rsidR="006D0569" w:rsidRPr="00FA1DB3" w:rsidRDefault="006D0569" w:rsidP="006D0569">
      <w:pPr>
        <w:rPr>
          <w:rFonts w:eastAsia="Calibri"/>
          <w:lang w:bidi="ar-SA"/>
        </w:rPr>
      </w:pPr>
      <w:r w:rsidRPr="00FA1DB3">
        <w:rPr>
          <w:rFonts w:eastAsia="Calibri"/>
          <w:lang w:bidi="ar-SA"/>
        </w:rPr>
        <w:t xml:space="preserve">The table to subsection S26—3(7) lists food produced using gene technology of microbial origin. </w:t>
      </w:r>
      <w:r>
        <w:t>Item [2</w:t>
      </w:r>
      <w:r w:rsidRPr="00FA1DB3">
        <w:t xml:space="preserve">] will amend </w:t>
      </w:r>
      <w:r w:rsidRPr="00FA1DB3">
        <w:rPr>
          <w:rFonts w:eastAsia="Calibri"/>
          <w:szCs w:val="18"/>
        </w:rPr>
        <w:t>item [1] of that table to provide a</w:t>
      </w:r>
      <w:r w:rsidRPr="00FA1DB3">
        <w:t xml:space="preserve"> permission for the use of 2′-FL sourced from </w:t>
      </w:r>
      <w:r w:rsidRPr="00FA1DB3">
        <w:rPr>
          <w:rFonts w:eastAsia="Calibri"/>
          <w:i/>
          <w:lang w:bidi="ar-SA"/>
        </w:rPr>
        <w:t xml:space="preserve">Escherichia coli </w:t>
      </w:r>
      <w:r w:rsidRPr="00FA1DB3">
        <w:rPr>
          <w:rFonts w:eastAsia="Calibri"/>
          <w:lang w:bidi="ar-SA"/>
        </w:rPr>
        <w:t>K-12 containing the gene for alpha</w:t>
      </w:r>
      <w:r w:rsidRPr="00FA1DB3">
        <w:rPr>
          <w:rFonts w:eastAsia="Calibri"/>
          <w:szCs w:val="18"/>
        </w:rPr>
        <w:t xml:space="preserve">-1,2-fucosyltransferase from </w:t>
      </w:r>
      <w:r w:rsidRPr="00FA1DB3">
        <w:rPr>
          <w:rFonts w:eastAsia="Calibri"/>
          <w:i/>
          <w:szCs w:val="18"/>
        </w:rPr>
        <w:t>Bacteroides vulgatus</w:t>
      </w:r>
      <w:r w:rsidRPr="00FA1DB3">
        <w:rPr>
          <w:rFonts w:eastAsia="Calibri"/>
          <w:szCs w:val="18"/>
        </w:rPr>
        <w:t xml:space="preserve">. </w:t>
      </w:r>
    </w:p>
    <w:p w14:paraId="1BC8ADB8" w14:textId="3C92CC9E" w:rsidR="006D0569" w:rsidRPr="00FA1DB3" w:rsidRDefault="006D0569" w:rsidP="006D0569">
      <w:pPr>
        <w:widowControl/>
        <w:spacing w:before="240" w:beforeAutospacing="0" w:after="120" w:afterAutospacing="0"/>
        <w:jc w:val="both"/>
        <w:rPr>
          <w:rFonts w:eastAsia="Calibri"/>
          <w:szCs w:val="18"/>
        </w:rPr>
      </w:pPr>
      <w:r w:rsidRPr="00FA1DB3">
        <w:rPr>
          <w:rFonts w:eastAsia="Calibri"/>
          <w:szCs w:val="18"/>
        </w:rPr>
        <w:t xml:space="preserve">In order to add the new permission to the table, </w:t>
      </w:r>
      <w:r>
        <w:t>item [2</w:t>
      </w:r>
      <w:r w:rsidRPr="00FA1DB3">
        <w:t>]</w:t>
      </w:r>
      <w:r w:rsidRPr="00FA1DB3">
        <w:rPr>
          <w:b/>
        </w:rPr>
        <w:t xml:space="preserve"> </w:t>
      </w:r>
      <w:r w:rsidRPr="00FA1DB3">
        <w:t xml:space="preserve">will repeal and then restate the </w:t>
      </w:r>
      <w:r w:rsidRPr="00FA1DB3">
        <w:rPr>
          <w:rFonts w:eastAsia="Calibri"/>
          <w:szCs w:val="18"/>
        </w:rPr>
        <w:t xml:space="preserve">entire entry in the table for </w:t>
      </w:r>
      <w:r w:rsidRPr="00FA1DB3">
        <w:rPr>
          <w:szCs w:val="22"/>
        </w:rPr>
        <w:t xml:space="preserve">2′-FL </w:t>
      </w:r>
      <w:r w:rsidRPr="00FA1DB3">
        <w:rPr>
          <w:rFonts w:eastAsia="Calibri"/>
          <w:szCs w:val="18"/>
        </w:rPr>
        <w:t>but with the new source permission included in the restated entry as sub-item (c) in column 2, and its associated conditions of use set out in column 3. These conditions of use are as follows:</w:t>
      </w:r>
    </w:p>
    <w:p w14:paraId="7CBD3F29" w14:textId="77777777" w:rsidR="006D0569" w:rsidRPr="00FA1DB3" w:rsidRDefault="006D0569" w:rsidP="006D0569">
      <w:pPr>
        <w:widowControl/>
        <w:numPr>
          <w:ilvl w:val="0"/>
          <w:numId w:val="33"/>
        </w:numPr>
        <w:spacing w:before="240" w:beforeAutospacing="0" w:after="120" w:afterAutospacing="0"/>
        <w:contextualSpacing/>
        <w:jc w:val="both"/>
        <w:rPr>
          <w:rFonts w:eastAsia="Calibri"/>
          <w:szCs w:val="18"/>
        </w:rPr>
      </w:pPr>
      <w:r w:rsidRPr="00FA1DB3">
        <w:rPr>
          <w:rFonts w:eastAsia="Calibri"/>
          <w:szCs w:val="18"/>
        </w:rPr>
        <w:t>the substance may only be added to infant formula;</w:t>
      </w:r>
    </w:p>
    <w:p w14:paraId="032D0780" w14:textId="77777777" w:rsidR="006D0569" w:rsidRPr="00FA1DB3" w:rsidRDefault="006D0569" w:rsidP="006D0569">
      <w:pPr>
        <w:widowControl/>
        <w:numPr>
          <w:ilvl w:val="0"/>
          <w:numId w:val="33"/>
        </w:numPr>
        <w:spacing w:before="240" w:beforeAutospacing="0" w:after="120" w:afterAutospacing="0"/>
        <w:contextualSpacing/>
        <w:jc w:val="both"/>
        <w:rPr>
          <w:rFonts w:eastAsia="Calibri"/>
          <w:szCs w:val="18"/>
        </w:rPr>
      </w:pPr>
      <w:r w:rsidRPr="00FA1DB3">
        <w:rPr>
          <w:rFonts w:eastAsia="Calibri"/>
          <w:szCs w:val="18"/>
        </w:rPr>
        <w:t>during the exclusive use period, the substance may only be sold under the brand Aequival® 2’FL; and</w:t>
      </w:r>
    </w:p>
    <w:p w14:paraId="718579DC" w14:textId="77777777" w:rsidR="006D0569" w:rsidRPr="00FA1DB3" w:rsidRDefault="006D0569" w:rsidP="006D0569">
      <w:pPr>
        <w:widowControl/>
        <w:numPr>
          <w:ilvl w:val="0"/>
          <w:numId w:val="33"/>
        </w:numPr>
        <w:spacing w:before="240" w:beforeAutospacing="0" w:after="120" w:afterAutospacing="0"/>
        <w:contextualSpacing/>
        <w:jc w:val="both"/>
      </w:pPr>
      <w:r w:rsidRPr="00FA1DB3">
        <w:rPr>
          <w:rFonts w:eastAsia="Calibri"/>
          <w:szCs w:val="18"/>
        </w:rPr>
        <w:t xml:space="preserve">for the purposes of condition 2, exclusive use period means the period commencing on the date of gazettal of the </w:t>
      </w:r>
      <w:r w:rsidRPr="00FA1DB3">
        <w:rPr>
          <w:rFonts w:eastAsia="Calibri"/>
          <w:i/>
          <w:szCs w:val="18"/>
        </w:rPr>
        <w:t xml:space="preserve">Food Standards (Application A1233 – 2’-FL from new GM source for infant formula) Variation </w:t>
      </w:r>
      <w:r w:rsidRPr="00FA1DB3">
        <w:rPr>
          <w:rFonts w:eastAsia="Calibri"/>
          <w:szCs w:val="18"/>
        </w:rPr>
        <w:t xml:space="preserve">and ending 15 months after that date. </w:t>
      </w:r>
    </w:p>
    <w:p w14:paraId="28A0EE41" w14:textId="77777777" w:rsidR="006D0569" w:rsidRPr="00FA1DB3" w:rsidRDefault="006D0569" w:rsidP="006D0569">
      <w:r w:rsidRPr="00FA1DB3">
        <w:t xml:space="preserve">Condition 2 will mean that </w:t>
      </w:r>
      <w:r w:rsidRPr="00FA1DB3">
        <w:rPr>
          <w:szCs w:val="22"/>
        </w:rPr>
        <w:t xml:space="preserve">2′-FL </w:t>
      </w:r>
      <w:r w:rsidRPr="00FA1DB3">
        <w:t xml:space="preserve">sourced from </w:t>
      </w:r>
      <w:r w:rsidRPr="00FA1DB3">
        <w:rPr>
          <w:rFonts w:eastAsia="Calibri"/>
          <w:i/>
          <w:szCs w:val="22"/>
          <w:lang w:bidi="ar-SA"/>
        </w:rPr>
        <w:t xml:space="preserve">Escherichia coli </w:t>
      </w:r>
      <w:r w:rsidRPr="00FA1DB3">
        <w:rPr>
          <w:rFonts w:eastAsia="Calibri"/>
          <w:szCs w:val="22"/>
          <w:lang w:bidi="ar-SA"/>
        </w:rPr>
        <w:t>K-12 containing the gene for alpha</w:t>
      </w:r>
      <w:r w:rsidRPr="00FA1DB3">
        <w:rPr>
          <w:rFonts w:eastAsia="Calibri"/>
          <w:szCs w:val="18"/>
        </w:rPr>
        <w:t xml:space="preserve">-1,2-fucosyltransferase from </w:t>
      </w:r>
      <w:r w:rsidRPr="00FA1DB3">
        <w:rPr>
          <w:rFonts w:eastAsia="Calibri"/>
          <w:i/>
          <w:szCs w:val="18"/>
        </w:rPr>
        <w:t xml:space="preserve">Bacteroides vulgatus </w:t>
      </w:r>
      <w:r w:rsidRPr="00FA1DB3">
        <w:rPr>
          <w:rFonts w:eastAsia="Calibri"/>
          <w:szCs w:val="18"/>
        </w:rPr>
        <w:t>may only be sold under the brand ‘Aequival® 2’FL’</w:t>
      </w:r>
      <w:r w:rsidRPr="00FA1DB3">
        <w:t>during the exclusive use period. ‘Exclusive use period’ will be defined in condition 3 as the period commencing upon gazettal of the draft variation and ending 15 months after that date</w:t>
      </w:r>
    </w:p>
    <w:p w14:paraId="40E0EB6F" w14:textId="47E2861C" w:rsidR="006D0569" w:rsidRPr="00FA1DB3" w:rsidRDefault="006D0569" w:rsidP="006D0569">
      <w:pPr>
        <w:widowControl/>
        <w:spacing w:before="120" w:beforeAutospacing="0" w:after="120" w:afterAutospacing="0"/>
        <w:jc w:val="both"/>
      </w:pPr>
      <w:r w:rsidRPr="00FA1DB3">
        <w:t xml:space="preserve">Once this period ends, the permission will revert to a general permission, meaning that the permission will then permit the sale of </w:t>
      </w:r>
      <w:r w:rsidRPr="00FA1DB3">
        <w:rPr>
          <w:szCs w:val="22"/>
        </w:rPr>
        <w:t xml:space="preserve">2′-FL </w:t>
      </w:r>
      <w:r w:rsidRPr="00FA1DB3">
        <w:t xml:space="preserve">sourced from </w:t>
      </w:r>
      <w:r w:rsidRPr="00FA1DB3">
        <w:rPr>
          <w:rFonts w:eastAsia="Calibri"/>
          <w:i/>
          <w:szCs w:val="22"/>
          <w:lang w:bidi="ar-SA"/>
        </w:rPr>
        <w:t xml:space="preserve">Escherichia coli </w:t>
      </w:r>
      <w:r w:rsidRPr="00FA1DB3">
        <w:rPr>
          <w:rFonts w:eastAsia="Calibri"/>
          <w:szCs w:val="22"/>
          <w:lang w:bidi="ar-SA"/>
        </w:rPr>
        <w:t>K-12 containing the gene for alpha</w:t>
      </w:r>
      <w:r w:rsidRPr="00FA1DB3">
        <w:rPr>
          <w:rFonts w:eastAsia="Calibri"/>
          <w:szCs w:val="18"/>
        </w:rPr>
        <w:t xml:space="preserve">-1,2-fucosyltransferase from </w:t>
      </w:r>
      <w:r w:rsidRPr="00FA1DB3">
        <w:rPr>
          <w:rFonts w:eastAsia="Calibri"/>
          <w:i/>
          <w:szCs w:val="18"/>
        </w:rPr>
        <w:t xml:space="preserve">Bacteroides vulgatus </w:t>
      </w:r>
      <w:r w:rsidRPr="00FA1DB3">
        <w:rPr>
          <w:rFonts w:eastAsia="Calibri"/>
          <w:szCs w:val="18"/>
        </w:rPr>
        <w:t>to be sold under any brand</w:t>
      </w:r>
      <w:r w:rsidRPr="00FA1DB3">
        <w:t>.</w:t>
      </w:r>
    </w:p>
    <w:p w14:paraId="7E2A0CFD" w14:textId="19845F90" w:rsidR="0001100E" w:rsidRDefault="006D0569" w:rsidP="00D76271">
      <w:pPr>
        <w:widowControl/>
        <w:spacing w:before="240" w:beforeAutospacing="0" w:after="120" w:afterAutospacing="0"/>
        <w:jc w:val="both"/>
      </w:pPr>
      <w:r w:rsidRPr="00FA1DB3">
        <w:t xml:space="preserve">The </w:t>
      </w:r>
      <w:r>
        <w:t xml:space="preserve">amendments made by </w:t>
      </w:r>
      <w:r w:rsidRPr="00155DA4">
        <w:rPr>
          <w:b/>
        </w:rPr>
        <w:t>item [2]</w:t>
      </w:r>
      <w:r w:rsidRPr="00FA1DB3">
        <w:t xml:space="preserve"> </w:t>
      </w:r>
      <w:r>
        <w:t>do</w:t>
      </w:r>
      <w:r w:rsidRPr="00FA1DB3">
        <w:t xml:space="preserve"> not make any substantive change to </w:t>
      </w:r>
      <w:r w:rsidRPr="00FA1DB3">
        <w:rPr>
          <w:i/>
        </w:rPr>
        <w:t>existing</w:t>
      </w:r>
      <w:r w:rsidRPr="00FA1DB3">
        <w:t xml:space="preserve"> permissions and to other requirements in the Code relating to food produced using gene technology. </w:t>
      </w:r>
      <w:r w:rsidR="0001100E">
        <w:br w:type="page"/>
      </w:r>
    </w:p>
    <w:p w14:paraId="6B199BCA" w14:textId="679147BA" w:rsidR="00D76271" w:rsidRPr="00D76271" w:rsidRDefault="00D76271" w:rsidP="00D76271">
      <w:pPr>
        <w:pStyle w:val="Heading2"/>
      </w:pPr>
      <w:bookmarkStart w:id="142" w:name="_Toc89242798"/>
      <w:bookmarkStart w:id="143" w:name="_Toc100402968"/>
      <w:r w:rsidRPr="00FA1DB3">
        <w:lastRenderedPageBreak/>
        <w:t xml:space="preserve">Attachment </w:t>
      </w:r>
      <w:r>
        <w:t>C</w:t>
      </w:r>
      <w:r w:rsidRPr="00FA1DB3">
        <w:t xml:space="preserve"> – Draft variation to the </w:t>
      </w:r>
      <w:r w:rsidRPr="00355343">
        <w:rPr>
          <w:i/>
        </w:rPr>
        <w:t>Australia New Zealand Food Standards Code</w:t>
      </w:r>
      <w:bookmarkEnd w:id="142"/>
      <w:r>
        <w:rPr>
          <w:i/>
        </w:rPr>
        <w:t xml:space="preserve"> </w:t>
      </w:r>
      <w:r>
        <w:t>(call for submissions)</w:t>
      </w:r>
    </w:p>
    <w:p w14:paraId="507A9449" w14:textId="77777777" w:rsidR="00D76271" w:rsidRPr="00FA1DB3" w:rsidRDefault="00D76271" w:rsidP="00D76271">
      <w:pPr>
        <w:widowControl/>
        <w:spacing w:beforeAutospacing="0" w:afterAutospacing="0"/>
        <w:rPr>
          <w:szCs w:val="20"/>
          <w:lang w:bidi="ar-SA"/>
        </w:rPr>
      </w:pPr>
    </w:p>
    <w:p w14:paraId="099790C3" w14:textId="77777777" w:rsidR="00D76271" w:rsidRPr="00FA1DB3" w:rsidRDefault="00D76271" w:rsidP="00D76271">
      <w:pPr>
        <w:tabs>
          <w:tab w:val="left" w:pos="851"/>
        </w:tabs>
        <w:spacing w:beforeAutospacing="0" w:afterAutospacing="0"/>
        <w:rPr>
          <w:noProof/>
          <w:sz w:val="20"/>
          <w:szCs w:val="20"/>
          <w:lang w:val="en-AU" w:eastAsia="en-AU" w:bidi="ar-SA"/>
        </w:rPr>
      </w:pPr>
      <w:r w:rsidRPr="00FA1DB3">
        <w:rPr>
          <w:noProof/>
          <w:sz w:val="20"/>
          <w:szCs w:val="20"/>
          <w:lang w:eastAsia="en-GB" w:bidi="ar-SA"/>
        </w:rPr>
        <w:drawing>
          <wp:inline distT="0" distB="0" distL="0" distR="0" wp14:anchorId="1AED2856" wp14:editId="173137E6">
            <wp:extent cx="2657475" cy="438150"/>
            <wp:effectExtent l="0" t="0" r="9525" b="0"/>
            <wp:docPr id="3" name="Picture 3"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16992CF5" w14:textId="77777777" w:rsidR="00D76271" w:rsidRPr="00FA1DB3" w:rsidRDefault="00D76271" w:rsidP="00D76271">
      <w:pPr>
        <w:pBdr>
          <w:bottom w:val="single" w:sz="4" w:space="1" w:color="auto"/>
        </w:pBdr>
        <w:tabs>
          <w:tab w:val="left" w:pos="851"/>
        </w:tabs>
        <w:spacing w:beforeAutospacing="0" w:afterAutospacing="0"/>
        <w:rPr>
          <w:b/>
          <w:bCs/>
          <w:szCs w:val="20"/>
          <w:lang w:bidi="ar-SA"/>
        </w:rPr>
      </w:pPr>
    </w:p>
    <w:p w14:paraId="0D5E7B9D" w14:textId="77777777" w:rsidR="00D76271" w:rsidRPr="00FA1DB3" w:rsidRDefault="00D76271" w:rsidP="00D76271">
      <w:pPr>
        <w:pBdr>
          <w:bottom w:val="single" w:sz="4" w:space="1" w:color="auto"/>
        </w:pBdr>
        <w:tabs>
          <w:tab w:val="left" w:pos="851"/>
        </w:tabs>
        <w:spacing w:beforeAutospacing="0" w:afterAutospacing="0"/>
        <w:rPr>
          <w:b/>
          <w:sz w:val="20"/>
          <w:szCs w:val="20"/>
          <w:lang w:bidi="ar-SA"/>
        </w:rPr>
      </w:pPr>
      <w:r w:rsidRPr="00FA1DB3">
        <w:rPr>
          <w:b/>
          <w:sz w:val="20"/>
          <w:szCs w:val="20"/>
          <w:lang w:bidi="ar-SA"/>
        </w:rPr>
        <w:t>Food Standards (Application A1233 – 2’FL from a new GM source for infant formula) Variation</w:t>
      </w:r>
    </w:p>
    <w:p w14:paraId="7CB8E9E2" w14:textId="77777777" w:rsidR="00D76271" w:rsidRPr="00FA1DB3" w:rsidRDefault="00D76271" w:rsidP="00D76271">
      <w:pPr>
        <w:pBdr>
          <w:bottom w:val="single" w:sz="4" w:space="1" w:color="auto"/>
        </w:pBdr>
        <w:tabs>
          <w:tab w:val="left" w:pos="851"/>
        </w:tabs>
        <w:spacing w:beforeAutospacing="0" w:afterAutospacing="0"/>
        <w:rPr>
          <w:b/>
          <w:sz w:val="20"/>
          <w:szCs w:val="20"/>
          <w:lang w:bidi="ar-SA"/>
        </w:rPr>
      </w:pPr>
    </w:p>
    <w:p w14:paraId="5CF1779D" w14:textId="77777777" w:rsidR="00D76271" w:rsidRPr="00FA1DB3" w:rsidRDefault="00D76271" w:rsidP="00D76271">
      <w:pPr>
        <w:tabs>
          <w:tab w:val="left" w:pos="851"/>
        </w:tabs>
        <w:spacing w:beforeAutospacing="0" w:afterAutospacing="0"/>
        <w:rPr>
          <w:sz w:val="20"/>
          <w:szCs w:val="20"/>
          <w:lang w:bidi="ar-SA"/>
        </w:rPr>
      </w:pPr>
    </w:p>
    <w:p w14:paraId="3686AD42" w14:textId="77777777" w:rsidR="00D76271" w:rsidRPr="00FA1DB3" w:rsidRDefault="00D76271" w:rsidP="00D76271">
      <w:pPr>
        <w:tabs>
          <w:tab w:val="left" w:pos="851"/>
        </w:tabs>
        <w:spacing w:beforeAutospacing="0" w:afterAutospacing="0"/>
        <w:rPr>
          <w:sz w:val="20"/>
          <w:szCs w:val="20"/>
          <w:lang w:bidi="ar-SA"/>
        </w:rPr>
      </w:pPr>
      <w:r w:rsidRPr="00FA1DB3">
        <w:rPr>
          <w:sz w:val="20"/>
          <w:szCs w:val="20"/>
          <w:lang w:bidi="ar-SA"/>
        </w:rPr>
        <w:t xml:space="preserve">The Board of Food Standards Australia New Zealand gives notice of the making of this variation under section 92 of the </w:t>
      </w:r>
      <w:r w:rsidRPr="00FA1DB3">
        <w:rPr>
          <w:i/>
          <w:sz w:val="20"/>
          <w:szCs w:val="20"/>
          <w:lang w:bidi="ar-SA"/>
        </w:rPr>
        <w:t>Food Standards Australia New Zealand Act 1991</w:t>
      </w:r>
      <w:r w:rsidRPr="00FA1DB3">
        <w:rPr>
          <w:sz w:val="20"/>
          <w:szCs w:val="20"/>
          <w:lang w:bidi="ar-SA"/>
        </w:rPr>
        <w:t>.  The variation commences on the date specified in clause 3 of this variation.</w:t>
      </w:r>
    </w:p>
    <w:p w14:paraId="67B1940B" w14:textId="77777777" w:rsidR="00D76271" w:rsidRPr="00FA1DB3" w:rsidRDefault="00D76271" w:rsidP="00D76271">
      <w:pPr>
        <w:tabs>
          <w:tab w:val="left" w:pos="851"/>
        </w:tabs>
        <w:spacing w:beforeAutospacing="0" w:afterAutospacing="0"/>
        <w:rPr>
          <w:sz w:val="20"/>
          <w:szCs w:val="20"/>
          <w:lang w:bidi="ar-SA"/>
        </w:rPr>
      </w:pPr>
    </w:p>
    <w:p w14:paraId="22894663" w14:textId="77777777" w:rsidR="00D76271" w:rsidRPr="00FA1DB3" w:rsidRDefault="00D76271" w:rsidP="00D76271">
      <w:pPr>
        <w:tabs>
          <w:tab w:val="left" w:pos="851"/>
        </w:tabs>
        <w:spacing w:beforeAutospacing="0" w:afterAutospacing="0"/>
        <w:rPr>
          <w:sz w:val="20"/>
          <w:szCs w:val="20"/>
          <w:lang w:bidi="ar-SA"/>
        </w:rPr>
      </w:pPr>
      <w:r w:rsidRPr="00FA1DB3">
        <w:rPr>
          <w:sz w:val="20"/>
          <w:szCs w:val="20"/>
          <w:lang w:bidi="ar-SA"/>
        </w:rPr>
        <w:t xml:space="preserve">Dated </w:t>
      </w:r>
      <w:r w:rsidRPr="005E0478">
        <w:rPr>
          <w:color w:val="FF0000"/>
          <w:sz w:val="20"/>
          <w:szCs w:val="20"/>
          <w:lang w:bidi="ar-SA"/>
        </w:rPr>
        <w:t>[To be completed by the Delegate</w:t>
      </w:r>
      <w:r w:rsidRPr="00FA1DB3">
        <w:rPr>
          <w:sz w:val="20"/>
          <w:szCs w:val="20"/>
          <w:lang w:bidi="ar-SA"/>
        </w:rPr>
        <w:t>]</w:t>
      </w:r>
    </w:p>
    <w:p w14:paraId="075DF605" w14:textId="77777777" w:rsidR="00D76271" w:rsidRPr="00FA1DB3" w:rsidRDefault="00D76271" w:rsidP="00D76271">
      <w:pPr>
        <w:tabs>
          <w:tab w:val="left" w:pos="851"/>
        </w:tabs>
        <w:spacing w:beforeAutospacing="0" w:afterAutospacing="0"/>
        <w:rPr>
          <w:sz w:val="20"/>
          <w:szCs w:val="20"/>
          <w:lang w:bidi="ar-SA"/>
        </w:rPr>
      </w:pPr>
    </w:p>
    <w:p w14:paraId="3AB3DE2E" w14:textId="77777777" w:rsidR="00D76271" w:rsidRPr="00FA1DB3" w:rsidRDefault="00D76271" w:rsidP="00D76271">
      <w:pPr>
        <w:tabs>
          <w:tab w:val="left" w:pos="851"/>
        </w:tabs>
        <w:spacing w:beforeAutospacing="0" w:afterAutospacing="0"/>
        <w:rPr>
          <w:sz w:val="20"/>
          <w:szCs w:val="20"/>
          <w:lang w:bidi="ar-SA"/>
        </w:rPr>
      </w:pPr>
    </w:p>
    <w:p w14:paraId="215F65AD" w14:textId="77777777" w:rsidR="00D76271" w:rsidRPr="00FA1DB3" w:rsidRDefault="00D76271" w:rsidP="00D76271">
      <w:pPr>
        <w:tabs>
          <w:tab w:val="left" w:pos="851"/>
        </w:tabs>
        <w:spacing w:beforeAutospacing="0" w:afterAutospacing="0"/>
        <w:rPr>
          <w:sz w:val="20"/>
          <w:szCs w:val="20"/>
          <w:lang w:bidi="ar-SA"/>
        </w:rPr>
      </w:pPr>
    </w:p>
    <w:p w14:paraId="63CC64F4" w14:textId="77777777" w:rsidR="00D76271" w:rsidRPr="00FA1DB3" w:rsidRDefault="00D76271" w:rsidP="00D76271">
      <w:pPr>
        <w:tabs>
          <w:tab w:val="left" w:pos="851"/>
        </w:tabs>
        <w:spacing w:beforeAutospacing="0" w:afterAutospacing="0"/>
        <w:rPr>
          <w:sz w:val="20"/>
          <w:szCs w:val="20"/>
          <w:lang w:bidi="ar-SA"/>
        </w:rPr>
      </w:pPr>
    </w:p>
    <w:p w14:paraId="3349CCF1" w14:textId="77777777" w:rsidR="00D76271" w:rsidRPr="00FA1DB3" w:rsidRDefault="00D76271" w:rsidP="00D76271">
      <w:pPr>
        <w:tabs>
          <w:tab w:val="left" w:pos="851"/>
        </w:tabs>
        <w:spacing w:beforeAutospacing="0" w:afterAutospacing="0"/>
        <w:rPr>
          <w:sz w:val="20"/>
          <w:szCs w:val="20"/>
          <w:lang w:bidi="ar-SA"/>
        </w:rPr>
      </w:pPr>
    </w:p>
    <w:p w14:paraId="31480D66" w14:textId="77777777" w:rsidR="00D76271" w:rsidRPr="005E0478" w:rsidRDefault="00D76271" w:rsidP="00D76271">
      <w:pPr>
        <w:tabs>
          <w:tab w:val="left" w:pos="851"/>
        </w:tabs>
        <w:spacing w:beforeAutospacing="0" w:afterAutospacing="0"/>
        <w:rPr>
          <w:color w:val="FF0000"/>
          <w:sz w:val="20"/>
          <w:szCs w:val="20"/>
          <w:lang w:bidi="ar-SA"/>
        </w:rPr>
      </w:pPr>
      <w:r w:rsidRPr="005E0478">
        <w:rPr>
          <w:color w:val="FF0000"/>
          <w:sz w:val="20"/>
          <w:szCs w:val="20"/>
          <w:lang w:bidi="ar-SA"/>
        </w:rPr>
        <w:t>[Delegate’s name and position]</w:t>
      </w:r>
    </w:p>
    <w:p w14:paraId="3436BF59" w14:textId="77777777" w:rsidR="00D76271" w:rsidRPr="00FA1DB3" w:rsidRDefault="00D76271" w:rsidP="00D76271">
      <w:pPr>
        <w:tabs>
          <w:tab w:val="left" w:pos="851"/>
        </w:tabs>
        <w:spacing w:beforeAutospacing="0" w:afterAutospacing="0"/>
        <w:rPr>
          <w:sz w:val="20"/>
          <w:szCs w:val="20"/>
          <w:lang w:bidi="ar-SA"/>
        </w:rPr>
      </w:pPr>
      <w:r w:rsidRPr="00FA1DB3">
        <w:rPr>
          <w:sz w:val="20"/>
          <w:szCs w:val="20"/>
          <w:lang w:bidi="ar-SA"/>
        </w:rPr>
        <w:t>Delegate of the Board of Food Standards Australia New Zealand</w:t>
      </w:r>
    </w:p>
    <w:p w14:paraId="33578323" w14:textId="77777777" w:rsidR="00D76271" w:rsidRPr="00FA1DB3" w:rsidRDefault="00D76271" w:rsidP="00D76271">
      <w:pPr>
        <w:tabs>
          <w:tab w:val="left" w:pos="851"/>
        </w:tabs>
        <w:spacing w:beforeAutospacing="0" w:afterAutospacing="0"/>
        <w:rPr>
          <w:sz w:val="20"/>
          <w:szCs w:val="20"/>
          <w:lang w:bidi="ar-SA"/>
        </w:rPr>
      </w:pPr>
    </w:p>
    <w:p w14:paraId="3F4EAC55" w14:textId="77777777" w:rsidR="00D76271" w:rsidRPr="00FA1DB3" w:rsidRDefault="00D76271" w:rsidP="00D76271">
      <w:pPr>
        <w:tabs>
          <w:tab w:val="left" w:pos="851"/>
        </w:tabs>
        <w:spacing w:beforeAutospacing="0" w:afterAutospacing="0"/>
        <w:rPr>
          <w:sz w:val="20"/>
          <w:szCs w:val="20"/>
          <w:lang w:bidi="ar-SA"/>
        </w:rPr>
      </w:pPr>
    </w:p>
    <w:p w14:paraId="483611D2" w14:textId="77777777" w:rsidR="00D76271" w:rsidRPr="00FA1DB3" w:rsidRDefault="00D76271" w:rsidP="00D76271">
      <w:pPr>
        <w:tabs>
          <w:tab w:val="left" w:pos="851"/>
        </w:tabs>
        <w:spacing w:beforeAutospacing="0" w:afterAutospacing="0"/>
        <w:rPr>
          <w:sz w:val="20"/>
          <w:szCs w:val="20"/>
          <w:lang w:bidi="ar-SA"/>
        </w:rPr>
      </w:pPr>
    </w:p>
    <w:p w14:paraId="5D567011" w14:textId="77777777" w:rsidR="00D76271" w:rsidRPr="00FA1DB3" w:rsidRDefault="00D76271" w:rsidP="00D76271">
      <w:pPr>
        <w:tabs>
          <w:tab w:val="left" w:pos="851"/>
        </w:tabs>
        <w:spacing w:beforeAutospacing="0" w:afterAutospacing="0"/>
        <w:rPr>
          <w:sz w:val="20"/>
          <w:szCs w:val="20"/>
          <w:lang w:bidi="ar-SA"/>
        </w:rPr>
      </w:pPr>
    </w:p>
    <w:p w14:paraId="581620A7" w14:textId="77777777" w:rsidR="00D76271" w:rsidRPr="00FA1DB3" w:rsidRDefault="00D76271" w:rsidP="00D76271">
      <w:pPr>
        <w:tabs>
          <w:tab w:val="left" w:pos="851"/>
        </w:tabs>
        <w:spacing w:beforeAutospacing="0" w:afterAutospacing="0"/>
        <w:rPr>
          <w:sz w:val="20"/>
          <w:szCs w:val="20"/>
          <w:lang w:bidi="ar-SA"/>
        </w:rPr>
      </w:pPr>
    </w:p>
    <w:p w14:paraId="63EF96C2" w14:textId="77777777" w:rsidR="00D76271" w:rsidRPr="00FA1DB3" w:rsidRDefault="00D76271" w:rsidP="00D76271">
      <w:pPr>
        <w:pBdr>
          <w:top w:val="single" w:sz="4" w:space="1" w:color="auto"/>
          <w:left w:val="single" w:sz="4" w:space="4" w:color="auto"/>
          <w:bottom w:val="single" w:sz="4" w:space="1" w:color="auto"/>
          <w:right w:val="single" w:sz="4" w:space="4" w:color="auto"/>
        </w:pBdr>
        <w:tabs>
          <w:tab w:val="left" w:pos="851"/>
        </w:tabs>
        <w:spacing w:beforeAutospacing="0" w:afterAutospacing="0"/>
        <w:rPr>
          <w:b/>
          <w:sz w:val="20"/>
          <w:szCs w:val="20"/>
          <w:lang w:val="en-AU" w:bidi="ar-SA"/>
        </w:rPr>
      </w:pPr>
      <w:r w:rsidRPr="00FA1DB3">
        <w:rPr>
          <w:b/>
          <w:sz w:val="20"/>
          <w:szCs w:val="20"/>
          <w:lang w:val="en-AU" w:bidi="ar-SA"/>
        </w:rPr>
        <w:t xml:space="preserve">Note:  </w:t>
      </w:r>
    </w:p>
    <w:p w14:paraId="7977867C" w14:textId="77777777" w:rsidR="00D76271" w:rsidRPr="00FA1DB3" w:rsidRDefault="00D76271" w:rsidP="00D76271">
      <w:pPr>
        <w:pBdr>
          <w:top w:val="single" w:sz="4" w:space="1" w:color="auto"/>
          <w:left w:val="single" w:sz="4" w:space="4" w:color="auto"/>
          <w:bottom w:val="single" w:sz="4" w:space="1" w:color="auto"/>
          <w:right w:val="single" w:sz="4" w:space="4" w:color="auto"/>
        </w:pBdr>
        <w:tabs>
          <w:tab w:val="left" w:pos="851"/>
        </w:tabs>
        <w:spacing w:beforeAutospacing="0" w:afterAutospacing="0"/>
        <w:rPr>
          <w:sz w:val="20"/>
          <w:szCs w:val="20"/>
          <w:lang w:val="en-AU" w:bidi="ar-SA"/>
        </w:rPr>
      </w:pPr>
    </w:p>
    <w:p w14:paraId="796F4678" w14:textId="77777777" w:rsidR="00D76271" w:rsidRPr="00FA1DB3" w:rsidRDefault="00D76271" w:rsidP="00D76271">
      <w:pPr>
        <w:pBdr>
          <w:top w:val="single" w:sz="4" w:space="1" w:color="auto"/>
          <w:left w:val="single" w:sz="4" w:space="4" w:color="auto"/>
          <w:bottom w:val="single" w:sz="4" w:space="1" w:color="auto"/>
          <w:right w:val="single" w:sz="4" w:space="4" w:color="auto"/>
        </w:pBdr>
        <w:tabs>
          <w:tab w:val="left" w:pos="851"/>
        </w:tabs>
        <w:spacing w:beforeAutospacing="0" w:afterAutospacing="0"/>
        <w:rPr>
          <w:sz w:val="20"/>
          <w:szCs w:val="20"/>
          <w:lang w:val="en-AU" w:bidi="ar-SA"/>
        </w:rPr>
      </w:pPr>
      <w:r w:rsidRPr="00FA1DB3">
        <w:rPr>
          <w:sz w:val="20"/>
          <w:szCs w:val="20"/>
          <w:lang w:val="en-AU" w:bidi="ar-SA"/>
        </w:rPr>
        <w:t xml:space="preserve">This variation will be published in the Commonwealth of Australia Gazette No. FSC </w:t>
      </w:r>
      <w:r w:rsidRPr="00FA1DB3">
        <w:rPr>
          <w:color w:val="FF0000"/>
          <w:sz w:val="20"/>
          <w:szCs w:val="20"/>
          <w:lang w:val="en-AU" w:bidi="ar-SA"/>
        </w:rPr>
        <w:t>XX on XX Month 20XX</w:t>
      </w:r>
      <w:r w:rsidRPr="00FA1DB3">
        <w:rPr>
          <w:sz w:val="20"/>
          <w:szCs w:val="20"/>
          <w:lang w:val="en-AU" w:bidi="ar-SA"/>
        </w:rPr>
        <w:t xml:space="preserve">. This means that this date is the gazettal date for the purposes of clause 3 of the variation. </w:t>
      </w:r>
    </w:p>
    <w:p w14:paraId="3CEF5A83" w14:textId="77777777" w:rsidR="00D76271" w:rsidRPr="00FA1DB3" w:rsidRDefault="00D76271" w:rsidP="00D76271">
      <w:pPr>
        <w:tabs>
          <w:tab w:val="left" w:pos="851"/>
        </w:tabs>
        <w:spacing w:beforeAutospacing="0" w:afterAutospacing="0"/>
        <w:rPr>
          <w:sz w:val="20"/>
          <w:szCs w:val="20"/>
          <w:lang w:bidi="ar-SA"/>
        </w:rPr>
      </w:pPr>
    </w:p>
    <w:p w14:paraId="4570233D" w14:textId="77777777" w:rsidR="00D76271" w:rsidRPr="00FA1DB3" w:rsidRDefault="00D76271" w:rsidP="00D76271">
      <w:pPr>
        <w:widowControl/>
        <w:spacing w:beforeAutospacing="0" w:afterAutospacing="0"/>
        <w:rPr>
          <w:sz w:val="20"/>
          <w:szCs w:val="20"/>
          <w:lang w:bidi="ar-SA"/>
        </w:rPr>
      </w:pPr>
      <w:r w:rsidRPr="00FA1DB3">
        <w:rPr>
          <w:sz w:val="20"/>
          <w:szCs w:val="20"/>
          <w:lang w:bidi="ar-SA"/>
        </w:rPr>
        <w:br w:type="page"/>
      </w:r>
    </w:p>
    <w:p w14:paraId="7A04B838" w14:textId="77777777" w:rsidR="00D76271" w:rsidRPr="00FA1DB3" w:rsidRDefault="00D76271" w:rsidP="00D76271">
      <w:pPr>
        <w:spacing w:before="120" w:beforeAutospacing="0" w:after="120" w:afterAutospacing="0"/>
        <w:ind w:left="851" w:hanging="851"/>
        <w:rPr>
          <w:b/>
          <w:sz w:val="20"/>
          <w:szCs w:val="20"/>
          <w:lang w:bidi="ar-SA"/>
        </w:rPr>
      </w:pPr>
      <w:r w:rsidRPr="00FA1DB3">
        <w:rPr>
          <w:b/>
          <w:sz w:val="20"/>
          <w:szCs w:val="20"/>
          <w:lang w:bidi="ar-SA"/>
        </w:rPr>
        <w:lastRenderedPageBreak/>
        <w:t>1</w:t>
      </w:r>
      <w:r w:rsidRPr="00FA1DB3">
        <w:rPr>
          <w:b/>
          <w:sz w:val="20"/>
          <w:szCs w:val="20"/>
          <w:lang w:bidi="ar-SA"/>
        </w:rPr>
        <w:tab/>
        <w:t>Name</w:t>
      </w:r>
    </w:p>
    <w:p w14:paraId="221C2D1D" w14:textId="77777777" w:rsidR="00D76271" w:rsidRPr="00FA1DB3" w:rsidRDefault="00D76271" w:rsidP="00D76271">
      <w:pPr>
        <w:widowControl/>
        <w:tabs>
          <w:tab w:val="left" w:pos="851"/>
        </w:tabs>
        <w:spacing w:before="120" w:beforeAutospacing="0" w:after="120" w:afterAutospacing="0"/>
        <w:rPr>
          <w:sz w:val="20"/>
          <w:szCs w:val="20"/>
          <w:lang w:bidi="ar-SA"/>
        </w:rPr>
      </w:pPr>
      <w:r w:rsidRPr="00FA1DB3">
        <w:rPr>
          <w:sz w:val="20"/>
          <w:szCs w:val="20"/>
          <w:lang w:bidi="ar-SA"/>
        </w:rPr>
        <w:t xml:space="preserve">This instrument is the </w:t>
      </w:r>
      <w:r w:rsidRPr="00FA1DB3">
        <w:rPr>
          <w:i/>
          <w:sz w:val="20"/>
          <w:szCs w:val="20"/>
          <w:lang w:bidi="ar-SA"/>
        </w:rPr>
        <w:t>Food Standards (Application A1233 – 2’-FL from new GM source for infant formula) Variation</w:t>
      </w:r>
      <w:r w:rsidRPr="00FA1DB3">
        <w:rPr>
          <w:sz w:val="20"/>
          <w:szCs w:val="20"/>
          <w:lang w:bidi="ar-SA"/>
        </w:rPr>
        <w:t>.</w:t>
      </w:r>
    </w:p>
    <w:p w14:paraId="2DFB7340" w14:textId="77777777" w:rsidR="00D76271" w:rsidRPr="00FA1DB3" w:rsidRDefault="00D76271" w:rsidP="00D76271">
      <w:pPr>
        <w:spacing w:before="120" w:beforeAutospacing="0" w:after="120" w:afterAutospacing="0"/>
        <w:ind w:left="851" w:hanging="851"/>
        <w:rPr>
          <w:b/>
          <w:sz w:val="20"/>
          <w:szCs w:val="20"/>
          <w:lang w:bidi="ar-SA"/>
        </w:rPr>
      </w:pPr>
      <w:r w:rsidRPr="00FA1DB3">
        <w:rPr>
          <w:b/>
          <w:sz w:val="20"/>
          <w:szCs w:val="20"/>
          <w:lang w:bidi="ar-SA"/>
        </w:rPr>
        <w:t>2</w:t>
      </w:r>
      <w:r w:rsidRPr="00FA1DB3">
        <w:rPr>
          <w:b/>
          <w:sz w:val="20"/>
          <w:szCs w:val="20"/>
          <w:lang w:bidi="ar-SA"/>
        </w:rPr>
        <w:tab/>
        <w:t xml:space="preserve">Variation to Standards in the </w:t>
      </w:r>
      <w:r w:rsidRPr="00FA1DB3">
        <w:rPr>
          <w:b/>
          <w:i/>
          <w:sz w:val="20"/>
          <w:szCs w:val="20"/>
          <w:lang w:bidi="ar-SA"/>
        </w:rPr>
        <w:t>Australia New Zealand Food Standards Code</w:t>
      </w:r>
    </w:p>
    <w:p w14:paraId="22811D31" w14:textId="77777777" w:rsidR="00D76271" w:rsidRPr="00FA1DB3" w:rsidRDefault="00D76271" w:rsidP="00D76271">
      <w:pPr>
        <w:widowControl/>
        <w:tabs>
          <w:tab w:val="left" w:pos="851"/>
        </w:tabs>
        <w:spacing w:before="120" w:beforeAutospacing="0" w:after="120" w:afterAutospacing="0"/>
        <w:rPr>
          <w:sz w:val="20"/>
          <w:szCs w:val="20"/>
          <w:lang w:bidi="ar-SA"/>
        </w:rPr>
      </w:pPr>
      <w:r w:rsidRPr="00FA1DB3">
        <w:rPr>
          <w:sz w:val="20"/>
          <w:szCs w:val="20"/>
          <w:lang w:bidi="ar-SA"/>
        </w:rPr>
        <w:t xml:space="preserve">The Schedule varies Standards in the </w:t>
      </w:r>
      <w:r w:rsidRPr="00FA1DB3">
        <w:rPr>
          <w:i/>
          <w:sz w:val="20"/>
          <w:szCs w:val="20"/>
          <w:lang w:bidi="ar-SA"/>
        </w:rPr>
        <w:t>Australia New Zealand Food Standards Code</w:t>
      </w:r>
      <w:r w:rsidRPr="00FA1DB3">
        <w:rPr>
          <w:sz w:val="20"/>
          <w:szCs w:val="20"/>
          <w:lang w:bidi="ar-SA"/>
        </w:rPr>
        <w:t>.</w:t>
      </w:r>
    </w:p>
    <w:p w14:paraId="4E49AA74" w14:textId="77777777" w:rsidR="00D76271" w:rsidRPr="00FA1DB3" w:rsidRDefault="00D76271" w:rsidP="00D76271">
      <w:pPr>
        <w:spacing w:before="120" w:beforeAutospacing="0" w:after="120" w:afterAutospacing="0"/>
        <w:ind w:left="851" w:hanging="851"/>
        <w:rPr>
          <w:b/>
          <w:sz w:val="20"/>
          <w:szCs w:val="20"/>
          <w:lang w:bidi="ar-SA"/>
        </w:rPr>
      </w:pPr>
      <w:r w:rsidRPr="00FA1DB3">
        <w:rPr>
          <w:b/>
          <w:sz w:val="20"/>
          <w:szCs w:val="20"/>
          <w:lang w:bidi="ar-SA"/>
        </w:rPr>
        <w:t>3</w:t>
      </w:r>
      <w:r w:rsidRPr="00FA1DB3">
        <w:rPr>
          <w:b/>
          <w:sz w:val="20"/>
          <w:szCs w:val="20"/>
          <w:lang w:bidi="ar-SA"/>
        </w:rPr>
        <w:tab/>
        <w:t>Commencement</w:t>
      </w:r>
    </w:p>
    <w:p w14:paraId="7B1D132E" w14:textId="77777777" w:rsidR="00D76271" w:rsidRPr="00FA1DB3" w:rsidRDefault="00D76271" w:rsidP="00D76271">
      <w:pPr>
        <w:widowControl/>
        <w:tabs>
          <w:tab w:val="left" w:pos="851"/>
        </w:tabs>
        <w:spacing w:before="120" w:beforeAutospacing="0" w:after="120" w:afterAutospacing="0"/>
        <w:rPr>
          <w:sz w:val="20"/>
          <w:szCs w:val="20"/>
          <w:lang w:bidi="ar-SA"/>
        </w:rPr>
      </w:pPr>
      <w:r w:rsidRPr="00FA1DB3">
        <w:rPr>
          <w:sz w:val="20"/>
          <w:szCs w:val="20"/>
          <w:lang w:bidi="ar-SA"/>
        </w:rPr>
        <w:t>The variation commences on the date of gazettal.</w:t>
      </w:r>
    </w:p>
    <w:p w14:paraId="2575D342" w14:textId="77777777" w:rsidR="00D76271" w:rsidRPr="00FA1DB3" w:rsidRDefault="00D76271" w:rsidP="00D76271">
      <w:pPr>
        <w:tabs>
          <w:tab w:val="left" w:pos="851"/>
        </w:tabs>
        <w:spacing w:beforeAutospacing="0" w:afterAutospacing="0"/>
        <w:jc w:val="center"/>
        <w:rPr>
          <w:b/>
          <w:sz w:val="20"/>
          <w:szCs w:val="20"/>
          <w:lang w:bidi="ar-SA"/>
        </w:rPr>
      </w:pPr>
      <w:r w:rsidRPr="00FA1DB3">
        <w:rPr>
          <w:b/>
          <w:sz w:val="20"/>
          <w:szCs w:val="20"/>
          <w:lang w:bidi="ar-SA"/>
        </w:rPr>
        <w:t>Schedule</w:t>
      </w:r>
    </w:p>
    <w:p w14:paraId="34365515" w14:textId="77777777" w:rsidR="00D76271" w:rsidRPr="00FA1DB3" w:rsidRDefault="00D76271" w:rsidP="00D76271">
      <w:pPr>
        <w:widowControl/>
        <w:tabs>
          <w:tab w:val="left" w:pos="851"/>
        </w:tabs>
        <w:spacing w:before="120" w:beforeAutospacing="0" w:after="120" w:afterAutospacing="0"/>
        <w:rPr>
          <w:b/>
          <w:sz w:val="20"/>
          <w:szCs w:val="20"/>
        </w:rPr>
      </w:pPr>
      <w:r w:rsidRPr="00FA1DB3">
        <w:rPr>
          <w:b/>
          <w:sz w:val="20"/>
          <w:szCs w:val="20"/>
        </w:rPr>
        <w:t>Schedule 3—Identity and Purity</w:t>
      </w:r>
    </w:p>
    <w:p w14:paraId="236AD2C2" w14:textId="77777777" w:rsidR="00D76271" w:rsidRPr="00FA1DB3" w:rsidRDefault="00D76271" w:rsidP="00D76271">
      <w:pPr>
        <w:widowControl/>
        <w:tabs>
          <w:tab w:val="left" w:pos="851"/>
        </w:tabs>
        <w:spacing w:before="120" w:beforeAutospacing="0" w:after="120" w:afterAutospacing="0"/>
        <w:ind w:left="851" w:hanging="851"/>
        <w:rPr>
          <w:b/>
          <w:sz w:val="20"/>
          <w:szCs w:val="20"/>
          <w:lang w:bidi="ar-SA"/>
        </w:rPr>
      </w:pPr>
      <w:r w:rsidRPr="00FA1DB3">
        <w:rPr>
          <w:b/>
          <w:sz w:val="20"/>
          <w:szCs w:val="20"/>
        </w:rPr>
        <w:t>[1]</w:t>
      </w:r>
      <w:r w:rsidRPr="00FA1DB3">
        <w:rPr>
          <w:sz w:val="20"/>
          <w:szCs w:val="20"/>
        </w:rPr>
        <w:tab/>
      </w:r>
      <w:r w:rsidRPr="00FA1DB3">
        <w:rPr>
          <w:b/>
          <w:sz w:val="20"/>
          <w:szCs w:val="20"/>
          <w:lang w:bidi="ar-SA"/>
        </w:rPr>
        <w:t>Subsection S3—2(2) (table item dealing with the substance 2</w:t>
      </w:r>
      <w:r w:rsidRPr="00FA1DB3">
        <w:rPr>
          <w:b/>
          <w:i/>
          <w:sz w:val="20"/>
          <w:szCs w:val="20"/>
          <w:lang w:bidi="ar-SA"/>
        </w:rPr>
        <w:t>′</w:t>
      </w:r>
      <w:r w:rsidRPr="00FA1DB3">
        <w:rPr>
          <w:b/>
          <w:sz w:val="20"/>
          <w:szCs w:val="20"/>
          <w:lang w:bidi="ar-SA"/>
        </w:rPr>
        <w:t xml:space="preserve">-fucosyllactose sourced from </w:t>
      </w:r>
      <w:r w:rsidRPr="00FA1DB3">
        <w:rPr>
          <w:b/>
          <w:i/>
          <w:sz w:val="20"/>
          <w:szCs w:val="20"/>
          <w:lang w:bidi="ar-SA"/>
        </w:rPr>
        <w:t>Escherichia coli</w:t>
      </w:r>
      <w:r w:rsidRPr="00FA1DB3">
        <w:rPr>
          <w:b/>
          <w:sz w:val="20"/>
          <w:szCs w:val="20"/>
          <w:lang w:bidi="ar-SA"/>
        </w:rPr>
        <w:t xml:space="preserve"> K-12)</w:t>
      </w:r>
    </w:p>
    <w:p w14:paraId="542424EE" w14:textId="77777777" w:rsidR="00D76271" w:rsidRPr="00FA1DB3" w:rsidRDefault="00D76271" w:rsidP="00D76271">
      <w:pPr>
        <w:widowControl/>
        <w:tabs>
          <w:tab w:val="left" w:pos="851"/>
        </w:tabs>
        <w:spacing w:before="120" w:beforeAutospacing="0" w:after="120" w:afterAutospacing="0"/>
        <w:rPr>
          <w:sz w:val="20"/>
          <w:szCs w:val="20"/>
        </w:rPr>
      </w:pPr>
      <w:r w:rsidRPr="00FA1DB3">
        <w:rPr>
          <w:b/>
          <w:sz w:val="20"/>
          <w:szCs w:val="20"/>
        </w:rPr>
        <w:tab/>
      </w:r>
      <w:r w:rsidRPr="00FA1DB3">
        <w:rPr>
          <w:sz w:val="20"/>
          <w:szCs w:val="20"/>
        </w:rPr>
        <w:t xml:space="preserve">Repeal the item, substitute: </w:t>
      </w:r>
    </w:p>
    <w:tbl>
      <w:tblPr>
        <w:tblStyle w:val="TableGrid21"/>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2550"/>
      </w:tblGrid>
      <w:tr w:rsidR="00D76271" w:rsidRPr="00FA1DB3" w14:paraId="58EBE424" w14:textId="77777777" w:rsidTr="000C59CD">
        <w:trPr>
          <w:cantSplit/>
          <w:jc w:val="center"/>
        </w:trPr>
        <w:tc>
          <w:tcPr>
            <w:tcW w:w="4254" w:type="dxa"/>
            <w:hideMark/>
          </w:tcPr>
          <w:p w14:paraId="09A9B11B" w14:textId="77777777" w:rsidR="00D76271" w:rsidRPr="00FA1DB3" w:rsidRDefault="00D76271" w:rsidP="000C59CD">
            <w:pPr>
              <w:widowControl/>
              <w:tabs>
                <w:tab w:val="right" w:pos="3969"/>
              </w:tabs>
              <w:spacing w:beforeAutospacing="0" w:afterAutospacing="0"/>
              <w:rPr>
                <w:i/>
                <w:sz w:val="18"/>
                <w:szCs w:val="20"/>
                <w:lang w:eastAsia="en-AU" w:bidi="ar-SA"/>
              </w:rPr>
            </w:pPr>
            <w:r w:rsidRPr="00FA1DB3">
              <w:rPr>
                <w:sz w:val="18"/>
                <w:szCs w:val="20"/>
                <w:lang w:eastAsia="en-AU" w:bidi="ar-SA"/>
              </w:rPr>
              <w:t>2</w:t>
            </w:r>
            <w:r w:rsidRPr="00FA1DB3">
              <w:rPr>
                <w:i/>
                <w:sz w:val="18"/>
                <w:szCs w:val="20"/>
                <w:lang w:eastAsia="en-AU" w:bidi="ar-SA"/>
              </w:rPr>
              <w:t>′-</w:t>
            </w:r>
            <w:r w:rsidRPr="00FA1DB3">
              <w:rPr>
                <w:sz w:val="18"/>
                <w:szCs w:val="20"/>
                <w:lang w:eastAsia="en-AU" w:bidi="ar-SA"/>
              </w:rPr>
              <w:t xml:space="preserve">fucosyllactose sourced from </w:t>
            </w:r>
            <w:r w:rsidRPr="00FA1DB3">
              <w:rPr>
                <w:i/>
                <w:sz w:val="18"/>
                <w:szCs w:val="20"/>
                <w:lang w:eastAsia="en-AU" w:bidi="ar-SA"/>
              </w:rPr>
              <w:t xml:space="preserve">Escherichia coli </w:t>
            </w:r>
            <w:r w:rsidRPr="00FA1DB3">
              <w:rPr>
                <w:sz w:val="18"/>
                <w:szCs w:val="20"/>
                <w:lang w:eastAsia="en-AU" w:bidi="ar-SA"/>
              </w:rPr>
              <w:t xml:space="preserve">K-12 containing the gene for alpha-1,2-fucosyltransferase from </w:t>
            </w:r>
            <w:r w:rsidRPr="00FA1DB3">
              <w:rPr>
                <w:i/>
                <w:sz w:val="18"/>
                <w:szCs w:val="20"/>
                <w:lang w:eastAsia="en-AU" w:bidi="ar-SA"/>
              </w:rPr>
              <w:t>Helicobacter pylori</w:t>
            </w:r>
          </w:p>
        </w:tc>
        <w:tc>
          <w:tcPr>
            <w:tcW w:w="2550" w:type="dxa"/>
            <w:hideMark/>
          </w:tcPr>
          <w:p w14:paraId="4DFC08D6" w14:textId="77777777" w:rsidR="00D76271" w:rsidRPr="00FA1DB3" w:rsidRDefault="00D76271" w:rsidP="000C59CD">
            <w:pPr>
              <w:widowControl/>
              <w:tabs>
                <w:tab w:val="right" w:pos="3969"/>
              </w:tabs>
              <w:spacing w:beforeAutospacing="0" w:afterAutospacing="0"/>
              <w:rPr>
                <w:sz w:val="18"/>
                <w:szCs w:val="20"/>
                <w:lang w:eastAsia="en-AU" w:bidi="ar-SA"/>
              </w:rPr>
            </w:pPr>
            <w:r w:rsidRPr="00FA1DB3">
              <w:rPr>
                <w:sz w:val="18"/>
                <w:szCs w:val="20"/>
                <w:lang w:eastAsia="en-AU" w:bidi="ar-SA"/>
              </w:rPr>
              <w:t>section S3—40</w:t>
            </w:r>
          </w:p>
        </w:tc>
      </w:tr>
    </w:tbl>
    <w:p w14:paraId="6C9C1038" w14:textId="77777777" w:rsidR="00D76271" w:rsidRPr="00FA1DB3" w:rsidRDefault="00D76271" w:rsidP="00D76271">
      <w:pPr>
        <w:widowControl/>
        <w:tabs>
          <w:tab w:val="left" w:pos="851"/>
        </w:tabs>
        <w:spacing w:before="120" w:beforeAutospacing="0" w:after="120" w:afterAutospacing="0"/>
        <w:rPr>
          <w:b/>
          <w:sz w:val="20"/>
          <w:szCs w:val="20"/>
        </w:rPr>
      </w:pPr>
      <w:r w:rsidRPr="00FA1DB3">
        <w:rPr>
          <w:b/>
          <w:sz w:val="20"/>
          <w:szCs w:val="20"/>
        </w:rPr>
        <w:t>[2]</w:t>
      </w:r>
      <w:r w:rsidRPr="00FA1DB3">
        <w:rPr>
          <w:sz w:val="20"/>
          <w:szCs w:val="20"/>
        </w:rPr>
        <w:tab/>
      </w:r>
      <w:r w:rsidRPr="00FA1DB3">
        <w:rPr>
          <w:b/>
          <w:sz w:val="20"/>
          <w:szCs w:val="20"/>
          <w:lang w:bidi="ar-SA"/>
        </w:rPr>
        <w:t>Subsection S3—2(2) (table)</w:t>
      </w:r>
    </w:p>
    <w:p w14:paraId="3A2717B3" w14:textId="77777777" w:rsidR="00D76271" w:rsidRPr="00FA1DB3" w:rsidRDefault="00D76271" w:rsidP="00D76271">
      <w:pPr>
        <w:widowControl/>
        <w:tabs>
          <w:tab w:val="left" w:pos="851"/>
        </w:tabs>
        <w:spacing w:before="120" w:beforeAutospacing="0" w:after="120" w:afterAutospacing="0"/>
        <w:rPr>
          <w:sz w:val="20"/>
          <w:szCs w:val="20"/>
        </w:rPr>
      </w:pPr>
      <w:r w:rsidRPr="00FA1DB3">
        <w:rPr>
          <w:b/>
          <w:sz w:val="20"/>
          <w:szCs w:val="20"/>
        </w:rPr>
        <w:tab/>
      </w:r>
      <w:r w:rsidRPr="00FA1DB3">
        <w:rPr>
          <w:sz w:val="20"/>
          <w:szCs w:val="20"/>
        </w:rPr>
        <w:t>Insert:</w:t>
      </w:r>
    </w:p>
    <w:tbl>
      <w:tblPr>
        <w:tblStyle w:val="TableGrid1"/>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2550"/>
      </w:tblGrid>
      <w:tr w:rsidR="00D76271" w:rsidRPr="00FA1DB3" w14:paraId="602AD80D" w14:textId="77777777" w:rsidTr="000C59CD">
        <w:trPr>
          <w:cantSplit/>
          <w:jc w:val="center"/>
        </w:trPr>
        <w:tc>
          <w:tcPr>
            <w:tcW w:w="4254" w:type="dxa"/>
            <w:hideMark/>
          </w:tcPr>
          <w:p w14:paraId="08C5027A" w14:textId="77777777" w:rsidR="00D76271" w:rsidRPr="00FA1DB3" w:rsidRDefault="00D76271" w:rsidP="000C59CD">
            <w:pPr>
              <w:keepLines/>
              <w:widowControl/>
              <w:tabs>
                <w:tab w:val="right" w:pos="3969"/>
              </w:tabs>
              <w:spacing w:before="60" w:beforeAutospacing="0" w:after="60" w:afterAutospacing="0"/>
              <w:rPr>
                <w:sz w:val="18"/>
                <w:szCs w:val="20"/>
                <w:lang w:eastAsia="en-AU" w:bidi="ar-SA"/>
              </w:rPr>
            </w:pPr>
            <w:r w:rsidRPr="00FA1DB3">
              <w:rPr>
                <w:rFonts w:cs="Arial"/>
                <w:sz w:val="18"/>
                <w:szCs w:val="20"/>
                <w:lang w:eastAsia="en-AU" w:bidi="ar-SA"/>
              </w:rPr>
              <w:t>2</w:t>
            </w:r>
            <w:r w:rsidRPr="00FA1DB3">
              <w:rPr>
                <w:rFonts w:cs="Arial"/>
                <w:i/>
                <w:sz w:val="18"/>
                <w:szCs w:val="20"/>
                <w:lang w:eastAsia="en-AU" w:bidi="ar-SA"/>
              </w:rPr>
              <w:t>′</w:t>
            </w:r>
            <w:r w:rsidRPr="00FA1DB3">
              <w:rPr>
                <w:rFonts w:cs="Arial"/>
                <w:sz w:val="18"/>
                <w:szCs w:val="20"/>
                <w:lang w:eastAsia="en-AU" w:bidi="ar-SA"/>
              </w:rPr>
              <w:t xml:space="preserve">-fucosyllactose </w:t>
            </w:r>
            <w:r>
              <w:rPr>
                <w:rFonts w:cs="Arial"/>
                <w:sz w:val="18"/>
                <w:szCs w:val="20"/>
                <w:lang w:eastAsia="en-AU" w:bidi="ar-SA"/>
              </w:rPr>
              <w:t xml:space="preserve">sourced </w:t>
            </w:r>
            <w:r w:rsidRPr="00FA1DB3">
              <w:rPr>
                <w:rFonts w:cs="Arial"/>
                <w:sz w:val="18"/>
                <w:szCs w:val="20"/>
                <w:lang w:eastAsia="en-AU" w:bidi="ar-SA"/>
              </w:rPr>
              <w:t xml:space="preserve">from </w:t>
            </w:r>
            <w:r w:rsidRPr="00FA1DB3">
              <w:rPr>
                <w:rFonts w:cs="Arial"/>
                <w:i/>
                <w:sz w:val="18"/>
                <w:szCs w:val="20"/>
                <w:lang w:eastAsia="en-AU" w:bidi="ar-SA"/>
              </w:rPr>
              <w:t xml:space="preserve">Escherichia coli </w:t>
            </w:r>
            <w:r w:rsidRPr="00FA1DB3">
              <w:rPr>
                <w:rFonts w:cs="Arial"/>
                <w:sz w:val="18"/>
                <w:szCs w:val="20"/>
                <w:lang w:eastAsia="en-AU" w:bidi="ar-SA"/>
              </w:rPr>
              <w:t>K-12 containing the gene for alpha</w:t>
            </w:r>
            <w:r w:rsidRPr="00FA1DB3">
              <w:rPr>
                <w:rFonts w:cs="Arial"/>
                <w:sz w:val="18"/>
                <w:szCs w:val="18"/>
                <w:lang w:eastAsia="en-AU"/>
              </w:rPr>
              <w:t xml:space="preserve">-1,2-fucosyltransferase from </w:t>
            </w:r>
            <w:r w:rsidRPr="00FA1DB3">
              <w:rPr>
                <w:rFonts w:cs="Arial"/>
                <w:i/>
                <w:sz w:val="18"/>
                <w:szCs w:val="18"/>
                <w:lang w:eastAsia="en-AU"/>
              </w:rPr>
              <w:t>Bacteroides vulgatus</w:t>
            </w:r>
          </w:p>
        </w:tc>
        <w:tc>
          <w:tcPr>
            <w:tcW w:w="2550" w:type="dxa"/>
            <w:hideMark/>
          </w:tcPr>
          <w:p w14:paraId="08FCAAA3" w14:textId="77777777" w:rsidR="00D76271" w:rsidRPr="00FA1DB3" w:rsidRDefault="00D76271" w:rsidP="000C59CD">
            <w:pPr>
              <w:keepLines/>
              <w:widowControl/>
              <w:tabs>
                <w:tab w:val="right" w:pos="3969"/>
              </w:tabs>
              <w:spacing w:before="60" w:beforeAutospacing="0" w:after="60" w:afterAutospacing="0"/>
              <w:rPr>
                <w:rFonts w:cs="Arial"/>
                <w:sz w:val="18"/>
                <w:szCs w:val="20"/>
                <w:lang w:eastAsia="en-AU" w:bidi="ar-SA"/>
              </w:rPr>
            </w:pPr>
            <w:r w:rsidRPr="00FA1DB3">
              <w:rPr>
                <w:rFonts w:cs="Arial"/>
                <w:sz w:val="18"/>
                <w:szCs w:val="20"/>
                <w:lang w:eastAsia="en-AU" w:bidi="ar-SA"/>
              </w:rPr>
              <w:t>section S3—46</w:t>
            </w:r>
          </w:p>
        </w:tc>
      </w:tr>
    </w:tbl>
    <w:p w14:paraId="66AF4456" w14:textId="77777777" w:rsidR="00D76271" w:rsidRPr="00FA1DB3" w:rsidRDefault="00D76271" w:rsidP="00D76271">
      <w:pPr>
        <w:widowControl/>
        <w:tabs>
          <w:tab w:val="left" w:pos="851"/>
        </w:tabs>
        <w:spacing w:before="120" w:beforeAutospacing="0" w:after="120" w:afterAutospacing="0"/>
        <w:rPr>
          <w:b/>
          <w:sz w:val="20"/>
          <w:szCs w:val="20"/>
        </w:rPr>
      </w:pPr>
      <w:r w:rsidRPr="00FA1DB3">
        <w:rPr>
          <w:b/>
          <w:sz w:val="20"/>
          <w:szCs w:val="20"/>
        </w:rPr>
        <w:t>[3]</w:t>
      </w:r>
      <w:r w:rsidRPr="00FA1DB3">
        <w:rPr>
          <w:b/>
          <w:sz w:val="20"/>
          <w:szCs w:val="20"/>
        </w:rPr>
        <w:tab/>
        <w:t>Section S3—40 (heading)</w:t>
      </w:r>
    </w:p>
    <w:p w14:paraId="6CDD7A5F" w14:textId="77777777" w:rsidR="00D76271" w:rsidRPr="00FA1DB3" w:rsidRDefault="00D76271" w:rsidP="00D76271">
      <w:pPr>
        <w:widowControl/>
        <w:tabs>
          <w:tab w:val="left" w:pos="851"/>
        </w:tabs>
        <w:spacing w:before="120" w:beforeAutospacing="0" w:after="120" w:afterAutospacing="0"/>
        <w:rPr>
          <w:b/>
          <w:sz w:val="20"/>
          <w:szCs w:val="20"/>
        </w:rPr>
      </w:pPr>
      <w:r w:rsidRPr="00FA1DB3">
        <w:rPr>
          <w:b/>
          <w:sz w:val="20"/>
          <w:szCs w:val="20"/>
        </w:rPr>
        <w:tab/>
      </w:r>
      <w:r w:rsidRPr="00FA1DB3">
        <w:rPr>
          <w:sz w:val="20"/>
          <w:szCs w:val="20"/>
        </w:rPr>
        <w:t>Repeal the heading, substitute:</w:t>
      </w:r>
      <w:r w:rsidRPr="00FA1DB3">
        <w:rPr>
          <w:b/>
          <w:sz w:val="20"/>
          <w:szCs w:val="20"/>
        </w:rPr>
        <w:t xml:space="preserve"> </w:t>
      </w:r>
    </w:p>
    <w:p w14:paraId="07AC7445" w14:textId="77777777" w:rsidR="00D76271" w:rsidRPr="00FA1DB3" w:rsidRDefault="00D76271" w:rsidP="00D76271">
      <w:pPr>
        <w:keepNext/>
        <w:spacing w:before="240" w:beforeAutospacing="0" w:after="120" w:afterAutospacing="0"/>
        <w:ind w:left="1701" w:hanging="1701"/>
        <w:outlineLvl w:val="4"/>
        <w:rPr>
          <w:b/>
          <w:bCs/>
          <w:kern w:val="32"/>
          <w:lang w:eastAsia="en-AU" w:bidi="ar-SA"/>
        </w:rPr>
      </w:pPr>
      <w:r w:rsidRPr="00FA1DB3">
        <w:rPr>
          <w:b/>
          <w:bCs/>
          <w:kern w:val="32"/>
          <w:lang w:eastAsia="en-AU" w:bidi="ar-SA"/>
        </w:rPr>
        <w:t>S3—40</w:t>
      </w:r>
      <w:r w:rsidRPr="00FA1DB3">
        <w:rPr>
          <w:b/>
          <w:bCs/>
          <w:kern w:val="32"/>
          <w:lang w:eastAsia="en-AU" w:bidi="ar-SA"/>
        </w:rPr>
        <w:tab/>
        <w:t xml:space="preserve">Specification for 2′-fucosyllactose sourced from </w:t>
      </w:r>
      <w:r w:rsidRPr="00FA1DB3">
        <w:rPr>
          <w:b/>
          <w:bCs/>
          <w:i/>
          <w:kern w:val="32"/>
          <w:lang w:eastAsia="en-AU" w:bidi="ar-SA"/>
        </w:rPr>
        <w:t>Escherichia coli</w:t>
      </w:r>
      <w:r w:rsidRPr="00FA1DB3">
        <w:rPr>
          <w:b/>
          <w:bCs/>
          <w:kern w:val="32"/>
          <w:lang w:eastAsia="en-AU" w:bidi="ar-SA"/>
        </w:rPr>
        <w:t xml:space="preserve"> K-12 containing the gene for alpha-1,2-fucosyltransferase from </w:t>
      </w:r>
      <w:r w:rsidRPr="00FA1DB3">
        <w:rPr>
          <w:b/>
          <w:bCs/>
          <w:i/>
          <w:kern w:val="32"/>
          <w:lang w:eastAsia="en-AU" w:bidi="ar-SA"/>
        </w:rPr>
        <w:t>Helicobacter pylori</w:t>
      </w:r>
    </w:p>
    <w:p w14:paraId="7DF521F3" w14:textId="77777777" w:rsidR="00D76271" w:rsidRPr="00FA1DB3" w:rsidRDefault="00D76271" w:rsidP="00D76271">
      <w:pPr>
        <w:widowControl/>
        <w:tabs>
          <w:tab w:val="left" w:pos="851"/>
        </w:tabs>
        <w:spacing w:before="120" w:beforeAutospacing="0" w:after="120" w:afterAutospacing="0"/>
        <w:ind w:left="851" w:hanging="851"/>
        <w:rPr>
          <w:b/>
          <w:sz w:val="20"/>
          <w:szCs w:val="20"/>
        </w:rPr>
      </w:pPr>
      <w:r w:rsidRPr="00FA1DB3">
        <w:rPr>
          <w:b/>
          <w:sz w:val="20"/>
          <w:szCs w:val="20"/>
        </w:rPr>
        <w:t>[4]</w:t>
      </w:r>
      <w:r w:rsidRPr="00FA1DB3">
        <w:rPr>
          <w:b/>
          <w:sz w:val="20"/>
          <w:szCs w:val="20"/>
        </w:rPr>
        <w:tab/>
        <w:t xml:space="preserve">Section S3—40 </w:t>
      </w:r>
      <w:r>
        <w:rPr>
          <w:b/>
          <w:sz w:val="20"/>
          <w:szCs w:val="20"/>
        </w:rPr>
        <w:t xml:space="preserve">(the phrase “For </w:t>
      </w:r>
      <w:r w:rsidRPr="00B90E43">
        <w:rPr>
          <w:b/>
          <w:sz w:val="20"/>
          <w:szCs w:val="20"/>
        </w:rPr>
        <w:t xml:space="preserve">2′-fucosyllactose (2′-FL) sourced from </w:t>
      </w:r>
      <w:r w:rsidRPr="00355343">
        <w:rPr>
          <w:b/>
          <w:i/>
          <w:sz w:val="20"/>
          <w:szCs w:val="20"/>
        </w:rPr>
        <w:t>Escherichia coli</w:t>
      </w:r>
      <w:r w:rsidRPr="00B90E43">
        <w:rPr>
          <w:b/>
          <w:sz w:val="20"/>
          <w:szCs w:val="20"/>
        </w:rPr>
        <w:t xml:space="preserve"> K-12</w:t>
      </w:r>
      <w:r>
        <w:rPr>
          <w:b/>
          <w:sz w:val="20"/>
          <w:szCs w:val="20"/>
        </w:rPr>
        <w:t>”</w:t>
      </w:r>
      <w:r w:rsidRPr="00347F03">
        <w:rPr>
          <w:b/>
          <w:sz w:val="20"/>
          <w:szCs w:val="20"/>
        </w:rPr>
        <w:t>)</w:t>
      </w:r>
    </w:p>
    <w:p w14:paraId="402471E5" w14:textId="77777777" w:rsidR="00D76271" w:rsidRPr="00FA1DB3" w:rsidRDefault="00D76271" w:rsidP="00D76271">
      <w:pPr>
        <w:widowControl/>
        <w:tabs>
          <w:tab w:val="left" w:pos="851"/>
        </w:tabs>
        <w:spacing w:before="120" w:beforeAutospacing="0" w:after="120" w:afterAutospacing="0"/>
        <w:rPr>
          <w:sz w:val="20"/>
          <w:szCs w:val="20"/>
        </w:rPr>
      </w:pPr>
      <w:r w:rsidRPr="00FA1DB3">
        <w:rPr>
          <w:b/>
          <w:sz w:val="20"/>
          <w:szCs w:val="20"/>
        </w:rPr>
        <w:tab/>
      </w:r>
      <w:r w:rsidRPr="00FA1DB3">
        <w:rPr>
          <w:sz w:val="20"/>
          <w:szCs w:val="20"/>
        </w:rPr>
        <w:t xml:space="preserve">Omit the </w:t>
      </w:r>
      <w:r>
        <w:rPr>
          <w:sz w:val="20"/>
          <w:szCs w:val="20"/>
        </w:rPr>
        <w:t>phrase</w:t>
      </w:r>
      <w:r w:rsidRPr="00FA1DB3">
        <w:rPr>
          <w:sz w:val="20"/>
          <w:szCs w:val="20"/>
        </w:rPr>
        <w:t xml:space="preserve">, substitute: </w:t>
      </w:r>
    </w:p>
    <w:p w14:paraId="51323987" w14:textId="77777777" w:rsidR="00D76271" w:rsidRPr="00FA1DB3" w:rsidRDefault="00D76271" w:rsidP="00D76271">
      <w:pPr>
        <w:widowControl/>
        <w:tabs>
          <w:tab w:val="left" w:pos="851"/>
        </w:tabs>
        <w:spacing w:before="120" w:beforeAutospacing="0" w:after="120" w:afterAutospacing="0"/>
        <w:rPr>
          <w:i/>
          <w:sz w:val="20"/>
          <w:szCs w:val="20"/>
          <w:lang w:bidi="ar-SA"/>
        </w:rPr>
      </w:pPr>
      <w:r w:rsidRPr="00FA1DB3">
        <w:rPr>
          <w:sz w:val="20"/>
          <w:szCs w:val="20"/>
        </w:rPr>
        <w:t xml:space="preserve">“For </w:t>
      </w:r>
      <w:r w:rsidRPr="00FA1DB3">
        <w:rPr>
          <w:sz w:val="20"/>
          <w:szCs w:val="20"/>
          <w:lang w:bidi="ar-SA"/>
        </w:rPr>
        <w:t>2′-fucosyllactose (2′</w:t>
      </w:r>
      <w:r w:rsidRPr="00FA1DB3">
        <w:rPr>
          <w:sz w:val="20"/>
          <w:szCs w:val="20"/>
          <w:lang w:bidi="ar-SA"/>
        </w:rPr>
        <w:noBreakHyphen/>
        <w:t xml:space="preserve">FL) sourced from </w:t>
      </w:r>
      <w:r w:rsidRPr="00FA1DB3">
        <w:rPr>
          <w:i/>
          <w:sz w:val="20"/>
          <w:szCs w:val="20"/>
          <w:lang w:bidi="ar-SA"/>
        </w:rPr>
        <w:t>Escherichia coli</w:t>
      </w:r>
      <w:r w:rsidRPr="00FA1DB3">
        <w:rPr>
          <w:sz w:val="20"/>
          <w:szCs w:val="20"/>
          <w:lang w:bidi="ar-SA"/>
        </w:rPr>
        <w:t xml:space="preserve"> K-12 containing the gene for alpha-1,2-fucosyltransferase from </w:t>
      </w:r>
      <w:r w:rsidRPr="00FA1DB3">
        <w:rPr>
          <w:i/>
          <w:sz w:val="20"/>
          <w:szCs w:val="20"/>
          <w:lang w:bidi="ar-SA"/>
        </w:rPr>
        <w:t>Helicobacter pylori”</w:t>
      </w:r>
    </w:p>
    <w:p w14:paraId="0ED5D9FF" w14:textId="77777777" w:rsidR="00D76271" w:rsidRPr="00FA1DB3" w:rsidRDefault="00D76271" w:rsidP="00D76271">
      <w:pPr>
        <w:widowControl/>
        <w:tabs>
          <w:tab w:val="left" w:pos="851"/>
        </w:tabs>
        <w:spacing w:before="120" w:beforeAutospacing="0" w:after="120" w:afterAutospacing="0"/>
        <w:rPr>
          <w:b/>
          <w:sz w:val="20"/>
          <w:szCs w:val="20"/>
        </w:rPr>
      </w:pPr>
      <w:r w:rsidRPr="00FA1DB3">
        <w:rPr>
          <w:b/>
          <w:sz w:val="20"/>
          <w:szCs w:val="20"/>
        </w:rPr>
        <w:t>[5]</w:t>
      </w:r>
      <w:r w:rsidRPr="00FA1DB3">
        <w:rPr>
          <w:b/>
          <w:sz w:val="20"/>
          <w:szCs w:val="20"/>
        </w:rPr>
        <w:tab/>
        <w:t>After section S3—45</w:t>
      </w:r>
    </w:p>
    <w:p w14:paraId="3D18B8F8" w14:textId="77777777" w:rsidR="00D76271" w:rsidRPr="00FA1DB3" w:rsidRDefault="00D76271" w:rsidP="00D76271">
      <w:pPr>
        <w:widowControl/>
        <w:tabs>
          <w:tab w:val="left" w:pos="851"/>
        </w:tabs>
        <w:spacing w:before="120" w:beforeAutospacing="0" w:after="120" w:afterAutospacing="0"/>
        <w:rPr>
          <w:b/>
          <w:sz w:val="20"/>
          <w:szCs w:val="20"/>
        </w:rPr>
      </w:pPr>
      <w:r w:rsidRPr="00FA1DB3">
        <w:rPr>
          <w:b/>
          <w:sz w:val="20"/>
          <w:szCs w:val="20"/>
        </w:rPr>
        <w:tab/>
      </w:r>
      <w:r w:rsidRPr="00FA1DB3">
        <w:rPr>
          <w:sz w:val="20"/>
          <w:szCs w:val="20"/>
        </w:rPr>
        <w:t>Insert:</w:t>
      </w:r>
      <w:r w:rsidRPr="00FA1DB3">
        <w:rPr>
          <w:b/>
          <w:sz w:val="20"/>
          <w:szCs w:val="20"/>
        </w:rPr>
        <w:t xml:space="preserve"> </w:t>
      </w:r>
    </w:p>
    <w:p w14:paraId="787CD7CF" w14:textId="77777777" w:rsidR="00D76271" w:rsidRPr="00FA1DB3" w:rsidRDefault="00D76271" w:rsidP="00D76271">
      <w:pPr>
        <w:keepNext/>
        <w:spacing w:before="240" w:beforeAutospacing="0" w:after="120" w:afterAutospacing="0"/>
        <w:ind w:left="1701" w:hanging="1701"/>
        <w:outlineLvl w:val="4"/>
        <w:rPr>
          <w:b/>
          <w:bCs/>
          <w:kern w:val="32"/>
          <w:szCs w:val="22"/>
          <w:lang w:eastAsia="en-AU" w:bidi="ar-SA"/>
        </w:rPr>
      </w:pPr>
      <w:r w:rsidRPr="00FA1DB3">
        <w:rPr>
          <w:b/>
          <w:bCs/>
          <w:kern w:val="32"/>
          <w:lang w:eastAsia="en-AU" w:bidi="ar-SA"/>
        </w:rPr>
        <w:t>S3—46</w:t>
      </w:r>
      <w:r w:rsidRPr="00FA1DB3">
        <w:rPr>
          <w:b/>
          <w:bCs/>
          <w:kern w:val="32"/>
          <w:lang w:eastAsia="en-AU" w:bidi="ar-SA"/>
        </w:rPr>
        <w:tab/>
        <w:t>Specification for 2</w:t>
      </w:r>
      <w:r w:rsidRPr="00FA1DB3">
        <w:rPr>
          <w:rFonts w:cs="Arial"/>
          <w:b/>
          <w:bCs/>
          <w:kern w:val="32"/>
          <w:lang w:eastAsia="en-AU" w:bidi="ar-SA"/>
        </w:rPr>
        <w:t>′</w:t>
      </w:r>
      <w:r w:rsidRPr="00FA1DB3">
        <w:rPr>
          <w:b/>
          <w:bCs/>
          <w:i/>
          <w:kern w:val="32"/>
          <w:lang w:eastAsia="en-AU" w:bidi="ar-SA"/>
        </w:rPr>
        <w:t>-</w:t>
      </w:r>
      <w:r w:rsidRPr="00FA1DB3">
        <w:rPr>
          <w:b/>
          <w:bCs/>
          <w:kern w:val="32"/>
          <w:szCs w:val="22"/>
          <w:lang w:eastAsia="en-AU" w:bidi="ar-SA"/>
        </w:rPr>
        <w:t xml:space="preserve">fucosyllactose </w:t>
      </w:r>
      <w:r>
        <w:rPr>
          <w:b/>
          <w:bCs/>
          <w:kern w:val="32"/>
          <w:szCs w:val="22"/>
          <w:lang w:eastAsia="en-AU" w:bidi="ar-SA"/>
        </w:rPr>
        <w:t>sourced</w:t>
      </w:r>
      <w:r w:rsidRPr="00FA1DB3">
        <w:rPr>
          <w:b/>
          <w:bCs/>
          <w:kern w:val="32"/>
          <w:szCs w:val="22"/>
          <w:lang w:eastAsia="en-AU" w:bidi="ar-SA"/>
        </w:rPr>
        <w:t xml:space="preserve"> from </w:t>
      </w:r>
      <w:r w:rsidRPr="00FA1DB3">
        <w:rPr>
          <w:rFonts w:cs="Arial"/>
          <w:b/>
          <w:bCs/>
          <w:i/>
          <w:kern w:val="32"/>
          <w:szCs w:val="22"/>
          <w:lang w:eastAsia="en-AU" w:bidi="ar-SA"/>
        </w:rPr>
        <w:t>Escherichia coli</w:t>
      </w:r>
      <w:r w:rsidRPr="00FA1DB3">
        <w:rPr>
          <w:b/>
          <w:bCs/>
          <w:i/>
          <w:kern w:val="32"/>
          <w:szCs w:val="22"/>
          <w:lang w:eastAsia="en-AU" w:bidi="ar-SA"/>
        </w:rPr>
        <w:t xml:space="preserve"> </w:t>
      </w:r>
      <w:r w:rsidRPr="00FA1DB3">
        <w:rPr>
          <w:b/>
          <w:bCs/>
          <w:kern w:val="32"/>
          <w:szCs w:val="22"/>
          <w:lang w:eastAsia="en-AU" w:bidi="ar-SA"/>
        </w:rPr>
        <w:t xml:space="preserve">K-12 containing the gene for </w:t>
      </w:r>
      <w:r w:rsidRPr="00FA1DB3">
        <w:rPr>
          <w:b/>
          <w:bCs/>
          <w:kern w:val="32"/>
          <w:lang w:eastAsia="en-AU" w:bidi="ar-SA"/>
        </w:rPr>
        <w:t>α-1,2-fucosyltransferase from</w:t>
      </w:r>
      <w:r w:rsidRPr="00FA1DB3">
        <w:rPr>
          <w:b/>
          <w:bCs/>
          <w:i/>
          <w:kern w:val="32"/>
          <w:lang w:eastAsia="en-AU" w:bidi="ar-SA"/>
        </w:rPr>
        <w:t xml:space="preserve"> Bacteroides vulgatus</w:t>
      </w:r>
    </w:p>
    <w:p w14:paraId="6870189B" w14:textId="77777777" w:rsidR="00D76271" w:rsidRPr="00FA1DB3" w:rsidRDefault="00D76271" w:rsidP="00D76271">
      <w:pPr>
        <w:tabs>
          <w:tab w:val="left" w:pos="1134"/>
        </w:tabs>
        <w:spacing w:before="120" w:beforeAutospacing="0" w:after="120" w:afterAutospacing="0"/>
        <w:ind w:left="1701"/>
        <w:rPr>
          <w:rFonts w:cs="Arial"/>
          <w:iCs/>
          <w:sz w:val="20"/>
          <w:szCs w:val="22"/>
          <w:lang w:eastAsia="en-AU" w:bidi="ar-SA"/>
        </w:rPr>
      </w:pPr>
      <w:r w:rsidRPr="00FA1DB3">
        <w:rPr>
          <w:rFonts w:cs="Arial"/>
          <w:iCs/>
          <w:sz w:val="20"/>
          <w:szCs w:val="22"/>
          <w:lang w:eastAsia="en-AU" w:bidi="ar-SA"/>
        </w:rPr>
        <w:tab/>
        <w:t xml:space="preserve">For 2′-fucosyllactose (2′-FL) sourced from </w:t>
      </w:r>
      <w:r w:rsidRPr="00FA1DB3">
        <w:rPr>
          <w:rFonts w:cs="Arial"/>
          <w:i/>
          <w:iCs/>
          <w:sz w:val="20"/>
          <w:szCs w:val="22"/>
          <w:lang w:eastAsia="en-AU" w:bidi="ar-SA"/>
        </w:rPr>
        <w:t>Escherichia coli</w:t>
      </w:r>
      <w:r w:rsidRPr="00FA1DB3">
        <w:rPr>
          <w:rFonts w:cs="Arial"/>
          <w:iCs/>
          <w:sz w:val="20"/>
          <w:szCs w:val="22"/>
          <w:lang w:eastAsia="en-AU" w:bidi="ar-SA"/>
        </w:rPr>
        <w:t xml:space="preserve"> K-12</w:t>
      </w:r>
      <w:r w:rsidRPr="00FA1DB3" w:rsidDel="00833B48">
        <w:rPr>
          <w:rFonts w:cs="Arial"/>
          <w:iCs/>
          <w:sz w:val="20"/>
          <w:szCs w:val="22"/>
          <w:lang w:eastAsia="en-AU" w:bidi="ar-SA"/>
        </w:rPr>
        <w:t xml:space="preserve"> </w:t>
      </w:r>
      <w:r w:rsidRPr="00FA1DB3">
        <w:rPr>
          <w:rFonts w:cs="Arial"/>
          <w:iCs/>
          <w:sz w:val="20"/>
          <w:szCs w:val="22"/>
          <w:lang w:eastAsia="en-AU" w:bidi="ar-SA"/>
        </w:rPr>
        <w:t>containing the gene for α-1,2-fucosyltr</w:t>
      </w:r>
      <w:r>
        <w:rPr>
          <w:rFonts w:cs="Arial"/>
          <w:iCs/>
          <w:sz w:val="20"/>
          <w:szCs w:val="22"/>
          <w:lang w:eastAsia="en-AU" w:bidi="ar-SA"/>
        </w:rPr>
        <w:t>a</w:t>
      </w:r>
      <w:r w:rsidRPr="00FA1DB3">
        <w:rPr>
          <w:rFonts w:cs="Arial"/>
          <w:iCs/>
          <w:sz w:val="20"/>
          <w:szCs w:val="22"/>
          <w:lang w:eastAsia="en-AU" w:bidi="ar-SA"/>
        </w:rPr>
        <w:t xml:space="preserve">nsferase from </w:t>
      </w:r>
      <w:r w:rsidRPr="00FA1DB3">
        <w:rPr>
          <w:rFonts w:cs="Arial"/>
          <w:i/>
          <w:iCs/>
          <w:sz w:val="20"/>
          <w:szCs w:val="22"/>
          <w:lang w:eastAsia="en-AU" w:bidi="ar-SA"/>
        </w:rPr>
        <w:t>Bacteroides vulgatus,</w:t>
      </w:r>
      <w:r w:rsidRPr="00FA1DB3">
        <w:rPr>
          <w:rFonts w:cs="Arial"/>
          <w:iCs/>
          <w:sz w:val="20"/>
          <w:szCs w:val="22"/>
          <w:lang w:eastAsia="en-AU" w:bidi="ar-SA"/>
        </w:rPr>
        <w:t xml:space="preserve"> the specifications are the following:</w:t>
      </w:r>
    </w:p>
    <w:p w14:paraId="2F6CEE9E" w14:textId="77777777" w:rsidR="00D76271" w:rsidRPr="00FA1DB3" w:rsidRDefault="00D76271" w:rsidP="00D76271">
      <w:pPr>
        <w:tabs>
          <w:tab w:val="left" w:pos="1701"/>
        </w:tabs>
        <w:spacing w:before="60" w:beforeAutospacing="0" w:after="60" w:afterAutospacing="0"/>
        <w:ind w:left="2268" w:hanging="567"/>
        <w:rPr>
          <w:rFonts w:cs="Arial"/>
          <w:iCs/>
          <w:sz w:val="20"/>
          <w:szCs w:val="20"/>
          <w:lang w:eastAsia="en-AU" w:bidi="ar-SA"/>
        </w:rPr>
      </w:pPr>
      <w:r w:rsidRPr="00FA1DB3">
        <w:rPr>
          <w:rFonts w:cs="Arial"/>
          <w:iCs/>
          <w:sz w:val="20"/>
          <w:szCs w:val="20"/>
          <w:lang w:eastAsia="en-AU" w:bidi="ar-SA"/>
        </w:rPr>
        <w:t>(a)</w:t>
      </w:r>
      <w:r w:rsidRPr="00FA1DB3">
        <w:rPr>
          <w:rFonts w:cs="Arial"/>
          <w:iCs/>
          <w:sz w:val="20"/>
          <w:szCs w:val="20"/>
          <w:lang w:eastAsia="en-AU" w:bidi="ar-SA"/>
        </w:rPr>
        <w:tab/>
        <w:t xml:space="preserve">chemical name—α-L-fucopyranosyl-(1→2)-β-D-galactopyranosyl-(1→4)-D-glucopyranose; </w:t>
      </w:r>
    </w:p>
    <w:p w14:paraId="010AE3FE" w14:textId="77777777" w:rsidR="00D76271" w:rsidRPr="00FA1DB3" w:rsidRDefault="00D76271" w:rsidP="00D76271">
      <w:pPr>
        <w:tabs>
          <w:tab w:val="left" w:pos="1701"/>
        </w:tabs>
        <w:spacing w:before="60" w:beforeAutospacing="0" w:after="60" w:afterAutospacing="0"/>
        <w:ind w:left="2268" w:hanging="2268"/>
        <w:rPr>
          <w:rFonts w:cs="Arial"/>
          <w:iCs/>
          <w:sz w:val="20"/>
          <w:szCs w:val="20"/>
          <w:lang w:eastAsia="en-AU" w:bidi="ar-SA"/>
        </w:rPr>
      </w:pPr>
      <w:r w:rsidRPr="00FA1DB3">
        <w:rPr>
          <w:rFonts w:cs="Arial"/>
          <w:iCs/>
          <w:sz w:val="20"/>
          <w:szCs w:val="20"/>
          <w:lang w:eastAsia="en-AU" w:bidi="ar-SA"/>
        </w:rPr>
        <w:tab/>
        <w:t>(b)</w:t>
      </w:r>
      <w:r w:rsidRPr="00FA1DB3">
        <w:rPr>
          <w:rFonts w:cs="Arial"/>
          <w:iCs/>
          <w:sz w:val="20"/>
          <w:szCs w:val="20"/>
          <w:lang w:eastAsia="en-AU" w:bidi="ar-SA"/>
        </w:rPr>
        <w:tab/>
        <w:t>chemical formula—</w:t>
      </w:r>
      <w:r w:rsidRPr="00FA1DB3">
        <w:rPr>
          <w:rFonts w:cs="Arial"/>
          <w:iCs/>
          <w:sz w:val="20"/>
          <w:szCs w:val="20"/>
          <w:lang w:val="en" w:eastAsia="en-AU" w:bidi="ar-SA"/>
        </w:rPr>
        <w:t>C</w:t>
      </w:r>
      <w:r w:rsidRPr="00FA1DB3">
        <w:rPr>
          <w:rFonts w:cs="Arial"/>
          <w:iCs/>
          <w:sz w:val="20"/>
          <w:szCs w:val="20"/>
          <w:vertAlign w:val="subscript"/>
          <w:lang w:val="en" w:eastAsia="en-AU" w:bidi="ar-SA"/>
        </w:rPr>
        <w:t>18</w:t>
      </w:r>
      <w:r w:rsidRPr="00FA1DB3">
        <w:rPr>
          <w:rFonts w:cs="Arial"/>
          <w:iCs/>
          <w:sz w:val="20"/>
          <w:szCs w:val="20"/>
          <w:lang w:val="en" w:eastAsia="en-AU" w:bidi="ar-SA"/>
        </w:rPr>
        <w:t>H</w:t>
      </w:r>
      <w:r w:rsidRPr="00FA1DB3">
        <w:rPr>
          <w:rFonts w:cs="Arial"/>
          <w:iCs/>
          <w:sz w:val="20"/>
          <w:szCs w:val="20"/>
          <w:vertAlign w:val="subscript"/>
          <w:lang w:val="en" w:eastAsia="en-AU" w:bidi="ar-SA"/>
        </w:rPr>
        <w:t>32</w:t>
      </w:r>
      <w:r w:rsidRPr="00FA1DB3">
        <w:rPr>
          <w:rFonts w:cs="Arial"/>
          <w:iCs/>
          <w:sz w:val="20"/>
          <w:szCs w:val="20"/>
          <w:lang w:val="en" w:eastAsia="en-AU" w:bidi="ar-SA"/>
        </w:rPr>
        <w:t>O</w:t>
      </w:r>
      <w:r w:rsidRPr="00FA1DB3">
        <w:rPr>
          <w:rFonts w:cs="Arial"/>
          <w:iCs/>
          <w:sz w:val="20"/>
          <w:szCs w:val="20"/>
          <w:vertAlign w:val="subscript"/>
          <w:lang w:val="en" w:eastAsia="en-AU" w:bidi="ar-SA"/>
        </w:rPr>
        <w:t>15</w:t>
      </w:r>
      <w:r w:rsidRPr="00FA1DB3">
        <w:rPr>
          <w:rFonts w:cs="Arial"/>
          <w:iCs/>
          <w:sz w:val="20"/>
          <w:szCs w:val="20"/>
          <w:lang w:eastAsia="en-AU" w:bidi="ar-SA"/>
        </w:rPr>
        <w:t>;</w:t>
      </w:r>
    </w:p>
    <w:p w14:paraId="19D92A6B" w14:textId="77777777" w:rsidR="00D76271" w:rsidRPr="00FA1DB3" w:rsidRDefault="00D76271" w:rsidP="00D76271">
      <w:pPr>
        <w:tabs>
          <w:tab w:val="left" w:pos="1701"/>
        </w:tabs>
        <w:spacing w:before="60" w:beforeAutospacing="0" w:after="60" w:afterAutospacing="0"/>
        <w:ind w:left="2268" w:hanging="2268"/>
        <w:rPr>
          <w:rFonts w:cs="Arial"/>
          <w:iCs/>
          <w:sz w:val="20"/>
          <w:szCs w:val="20"/>
          <w:lang w:eastAsia="en-AU" w:bidi="ar-SA"/>
        </w:rPr>
      </w:pPr>
      <w:r w:rsidRPr="00FA1DB3">
        <w:rPr>
          <w:rFonts w:cs="Arial"/>
          <w:iCs/>
          <w:sz w:val="20"/>
          <w:szCs w:val="20"/>
          <w:lang w:eastAsia="en-AU" w:bidi="ar-SA"/>
        </w:rPr>
        <w:tab/>
        <w:t>(c)</w:t>
      </w:r>
      <w:r w:rsidRPr="00FA1DB3">
        <w:rPr>
          <w:rFonts w:cs="Arial"/>
          <w:iCs/>
          <w:sz w:val="20"/>
          <w:szCs w:val="20"/>
          <w:lang w:eastAsia="en-AU" w:bidi="ar-SA"/>
        </w:rPr>
        <w:tab/>
        <w:t>molecular weight—488.44 g/mol;</w:t>
      </w:r>
    </w:p>
    <w:p w14:paraId="3B3D059E" w14:textId="77777777" w:rsidR="00D76271" w:rsidRPr="00FA1DB3" w:rsidRDefault="00D76271" w:rsidP="00D76271">
      <w:pPr>
        <w:tabs>
          <w:tab w:val="left" w:pos="1701"/>
        </w:tabs>
        <w:spacing w:before="60" w:beforeAutospacing="0" w:after="60" w:afterAutospacing="0"/>
        <w:ind w:left="2268" w:hanging="2268"/>
        <w:rPr>
          <w:rFonts w:cs="Arial"/>
          <w:iCs/>
          <w:sz w:val="20"/>
          <w:szCs w:val="20"/>
          <w:lang w:eastAsia="en-AU" w:bidi="ar-SA"/>
        </w:rPr>
      </w:pPr>
      <w:r w:rsidRPr="00FA1DB3">
        <w:rPr>
          <w:rFonts w:cs="Arial"/>
          <w:iCs/>
          <w:sz w:val="20"/>
          <w:szCs w:val="20"/>
          <w:lang w:eastAsia="en-AU" w:bidi="ar-SA"/>
        </w:rPr>
        <w:tab/>
        <w:t>(d)</w:t>
      </w:r>
      <w:r w:rsidRPr="00FA1DB3">
        <w:rPr>
          <w:rFonts w:cs="Arial"/>
          <w:iCs/>
          <w:sz w:val="20"/>
          <w:szCs w:val="20"/>
          <w:lang w:eastAsia="en-AU" w:bidi="ar-SA"/>
        </w:rPr>
        <w:tab/>
        <w:t>CAS number—41263-94-9;</w:t>
      </w:r>
    </w:p>
    <w:p w14:paraId="2F0D4CF6" w14:textId="77777777" w:rsidR="00D76271" w:rsidRPr="00FA1DB3" w:rsidRDefault="00D76271" w:rsidP="00D76271">
      <w:pPr>
        <w:tabs>
          <w:tab w:val="left" w:pos="1701"/>
        </w:tabs>
        <w:spacing w:before="60" w:beforeAutospacing="0" w:after="60" w:afterAutospacing="0"/>
        <w:ind w:left="2268" w:hanging="2268"/>
        <w:rPr>
          <w:rFonts w:cs="Arial"/>
          <w:iCs/>
          <w:sz w:val="20"/>
          <w:szCs w:val="20"/>
          <w:lang w:eastAsia="en-AU" w:bidi="ar-SA"/>
        </w:rPr>
      </w:pPr>
      <w:r w:rsidRPr="00FA1DB3">
        <w:rPr>
          <w:rFonts w:cs="Arial"/>
          <w:iCs/>
          <w:sz w:val="20"/>
          <w:szCs w:val="20"/>
          <w:lang w:eastAsia="en-AU" w:bidi="ar-SA"/>
        </w:rPr>
        <w:tab/>
        <w:t>(e)</w:t>
      </w:r>
      <w:r w:rsidRPr="00FA1DB3">
        <w:rPr>
          <w:rFonts w:cs="Arial"/>
          <w:iCs/>
          <w:sz w:val="20"/>
          <w:szCs w:val="20"/>
          <w:lang w:eastAsia="en-AU" w:bidi="ar-SA"/>
        </w:rPr>
        <w:tab/>
        <w:t xml:space="preserve">description— </w:t>
      </w:r>
      <w:r w:rsidRPr="00355343">
        <w:rPr>
          <w:rFonts w:cs="Arial"/>
          <w:iCs/>
          <w:sz w:val="20"/>
          <w:szCs w:val="20"/>
          <w:lang w:eastAsia="en-AU" w:bidi="ar-SA"/>
        </w:rPr>
        <w:t>white to off-white powder</w:t>
      </w:r>
    </w:p>
    <w:p w14:paraId="2C4E5156" w14:textId="77777777" w:rsidR="00D76271" w:rsidRPr="00FA1DB3" w:rsidRDefault="00D76271" w:rsidP="00D76271">
      <w:pPr>
        <w:tabs>
          <w:tab w:val="left" w:pos="1701"/>
        </w:tabs>
        <w:spacing w:before="60" w:beforeAutospacing="0" w:after="60" w:afterAutospacing="0"/>
        <w:ind w:left="2268" w:hanging="2268"/>
        <w:rPr>
          <w:rFonts w:cs="Arial"/>
          <w:iCs/>
          <w:sz w:val="20"/>
          <w:szCs w:val="20"/>
          <w:lang w:eastAsia="en-AU" w:bidi="ar-SA"/>
        </w:rPr>
      </w:pPr>
      <w:r w:rsidRPr="00FA1DB3">
        <w:rPr>
          <w:rFonts w:cs="Arial"/>
          <w:iCs/>
          <w:sz w:val="20"/>
          <w:szCs w:val="20"/>
          <w:lang w:eastAsia="en-AU" w:bidi="ar-SA"/>
        </w:rPr>
        <w:lastRenderedPageBreak/>
        <w:tab/>
        <w:t>(f)</w:t>
      </w:r>
      <w:r w:rsidRPr="00FA1DB3">
        <w:rPr>
          <w:rFonts w:cs="Arial"/>
          <w:iCs/>
          <w:sz w:val="20"/>
          <w:szCs w:val="20"/>
          <w:lang w:eastAsia="en-AU" w:bidi="ar-SA"/>
        </w:rPr>
        <w:tab/>
      </w:r>
      <w:r w:rsidRPr="00DC2375">
        <w:rPr>
          <w:rFonts w:cs="Arial"/>
          <w:iCs/>
          <w:sz w:val="20"/>
          <w:szCs w:val="20"/>
          <w:lang w:eastAsia="en-AU"/>
        </w:rPr>
        <w:t>2′-</w:t>
      </w:r>
      <w:r>
        <w:rPr>
          <w:rFonts w:cs="Arial"/>
          <w:iCs/>
          <w:sz w:val="20"/>
          <w:szCs w:val="20"/>
          <w:lang w:eastAsia="en-AU"/>
        </w:rPr>
        <w:t>FL</w:t>
      </w:r>
      <w:r w:rsidRPr="00DC2375">
        <w:rPr>
          <w:rFonts w:cs="Arial"/>
          <w:iCs/>
          <w:sz w:val="20"/>
          <w:szCs w:val="20"/>
          <w:lang w:eastAsia="en-AU"/>
        </w:rPr>
        <w:t>—not less than 83%</w:t>
      </w:r>
      <w:r w:rsidRPr="00FA1DB3">
        <w:rPr>
          <w:rFonts w:cs="Arial"/>
          <w:iCs/>
          <w:sz w:val="20"/>
          <w:szCs w:val="20"/>
          <w:lang w:eastAsia="en-AU" w:bidi="ar-SA"/>
        </w:rPr>
        <w:t>;</w:t>
      </w:r>
      <w:r>
        <w:rPr>
          <w:rFonts w:cs="Arial"/>
          <w:iCs/>
          <w:sz w:val="20"/>
          <w:szCs w:val="20"/>
          <w:lang w:eastAsia="en-AU" w:bidi="ar-SA"/>
        </w:rPr>
        <w:t xml:space="preserve"> </w:t>
      </w:r>
    </w:p>
    <w:p w14:paraId="53930D28" w14:textId="77777777" w:rsidR="00D76271" w:rsidRPr="00FA1DB3" w:rsidRDefault="00D76271" w:rsidP="00D76271">
      <w:pPr>
        <w:tabs>
          <w:tab w:val="left" w:pos="1701"/>
        </w:tabs>
        <w:spacing w:before="60" w:beforeAutospacing="0" w:after="60" w:afterAutospacing="0"/>
        <w:ind w:left="2268" w:hanging="2268"/>
        <w:rPr>
          <w:rFonts w:cs="Arial"/>
          <w:iCs/>
          <w:sz w:val="20"/>
          <w:szCs w:val="20"/>
          <w:lang w:eastAsia="en-AU" w:bidi="ar-SA"/>
        </w:rPr>
      </w:pPr>
      <w:r w:rsidRPr="00FA1DB3">
        <w:rPr>
          <w:rFonts w:cs="Arial"/>
          <w:iCs/>
          <w:sz w:val="20"/>
          <w:szCs w:val="20"/>
          <w:lang w:eastAsia="en-AU" w:bidi="ar-SA"/>
        </w:rPr>
        <w:tab/>
        <w:t>(g)</w:t>
      </w:r>
      <w:r w:rsidRPr="00FA1DB3">
        <w:rPr>
          <w:rFonts w:cs="Arial"/>
          <w:iCs/>
          <w:sz w:val="20"/>
          <w:szCs w:val="20"/>
          <w:lang w:eastAsia="en-AU" w:bidi="ar-SA"/>
        </w:rPr>
        <w:tab/>
        <w:t xml:space="preserve">D-lactose—not more than </w:t>
      </w:r>
      <w:r>
        <w:rPr>
          <w:rFonts w:cs="Arial"/>
          <w:iCs/>
          <w:sz w:val="20"/>
          <w:szCs w:val="20"/>
          <w:lang w:eastAsia="en-AU" w:bidi="ar-SA"/>
        </w:rPr>
        <w:t>10</w:t>
      </w:r>
      <w:r w:rsidRPr="00FA1DB3">
        <w:rPr>
          <w:rFonts w:cs="Arial"/>
          <w:iCs/>
          <w:sz w:val="20"/>
          <w:szCs w:val="20"/>
          <w:lang w:eastAsia="en-AU" w:bidi="ar-SA"/>
        </w:rPr>
        <w:t>.0%</w:t>
      </w:r>
      <w:r>
        <w:rPr>
          <w:rFonts w:cs="Arial"/>
          <w:iCs/>
          <w:sz w:val="20"/>
          <w:szCs w:val="20"/>
          <w:lang w:eastAsia="en-AU" w:bidi="ar-SA"/>
        </w:rPr>
        <w:t>;</w:t>
      </w:r>
    </w:p>
    <w:p w14:paraId="4B6CAB38" w14:textId="77777777" w:rsidR="00D76271" w:rsidRPr="00FA1DB3" w:rsidRDefault="00D76271" w:rsidP="00D76271">
      <w:pPr>
        <w:tabs>
          <w:tab w:val="left" w:pos="1701"/>
        </w:tabs>
        <w:spacing w:before="60" w:beforeAutospacing="0" w:after="60" w:afterAutospacing="0"/>
        <w:ind w:left="2268" w:hanging="2268"/>
        <w:rPr>
          <w:rFonts w:cs="Arial"/>
          <w:iCs/>
          <w:sz w:val="20"/>
          <w:szCs w:val="20"/>
          <w:lang w:eastAsia="en-AU" w:bidi="ar-SA"/>
        </w:rPr>
      </w:pPr>
      <w:r w:rsidRPr="00FA1DB3">
        <w:rPr>
          <w:rFonts w:cs="Arial"/>
          <w:iCs/>
          <w:sz w:val="20"/>
          <w:szCs w:val="20"/>
          <w:lang w:eastAsia="en-AU" w:bidi="ar-SA"/>
        </w:rPr>
        <w:tab/>
        <w:t>(h)</w:t>
      </w:r>
      <w:r w:rsidRPr="00FA1DB3">
        <w:rPr>
          <w:rFonts w:cs="Arial"/>
          <w:iCs/>
          <w:sz w:val="20"/>
          <w:szCs w:val="20"/>
          <w:lang w:eastAsia="en-AU" w:bidi="ar-SA"/>
        </w:rPr>
        <w:tab/>
        <w:t>L-</w:t>
      </w:r>
      <w:r>
        <w:rPr>
          <w:rFonts w:cs="Arial"/>
          <w:iCs/>
          <w:sz w:val="20"/>
          <w:szCs w:val="20"/>
          <w:lang w:eastAsia="en-AU" w:bidi="ar-SA"/>
        </w:rPr>
        <w:t>f</w:t>
      </w:r>
      <w:r w:rsidRPr="00FA1DB3">
        <w:rPr>
          <w:rFonts w:cs="Arial"/>
          <w:iCs/>
          <w:sz w:val="20"/>
          <w:szCs w:val="20"/>
          <w:lang w:eastAsia="en-AU" w:bidi="ar-SA"/>
        </w:rPr>
        <w:t>ucose—not more than 2.0%</w:t>
      </w:r>
      <w:r>
        <w:rPr>
          <w:rFonts w:cs="Arial"/>
          <w:iCs/>
          <w:sz w:val="20"/>
          <w:szCs w:val="20"/>
          <w:lang w:eastAsia="en-AU" w:bidi="ar-SA"/>
        </w:rPr>
        <w:t>;</w:t>
      </w:r>
    </w:p>
    <w:p w14:paraId="22F16E91" w14:textId="77777777" w:rsidR="00D76271" w:rsidRPr="00FA1DB3" w:rsidRDefault="00D76271" w:rsidP="00D76271">
      <w:pPr>
        <w:tabs>
          <w:tab w:val="left" w:pos="1701"/>
        </w:tabs>
        <w:spacing w:before="60" w:beforeAutospacing="0" w:after="60" w:afterAutospacing="0"/>
        <w:ind w:left="2268" w:hanging="2268"/>
        <w:rPr>
          <w:rFonts w:cs="Arial"/>
          <w:iCs/>
          <w:sz w:val="20"/>
          <w:szCs w:val="20"/>
          <w:lang w:eastAsia="en-AU" w:bidi="ar-SA"/>
        </w:rPr>
      </w:pPr>
      <w:r w:rsidRPr="00FA1DB3">
        <w:rPr>
          <w:rFonts w:cs="Arial"/>
          <w:iCs/>
          <w:sz w:val="20"/>
          <w:szCs w:val="20"/>
          <w:lang w:eastAsia="en-AU" w:bidi="ar-SA"/>
        </w:rPr>
        <w:tab/>
        <w:t>(i)</w:t>
      </w:r>
      <w:r w:rsidRPr="00FA1DB3">
        <w:rPr>
          <w:rFonts w:cs="Arial"/>
          <w:iCs/>
          <w:sz w:val="20"/>
          <w:szCs w:val="20"/>
          <w:lang w:eastAsia="en-AU" w:bidi="ar-SA"/>
        </w:rPr>
        <w:tab/>
      </w:r>
      <w:r>
        <w:rPr>
          <w:rFonts w:cs="Arial"/>
          <w:iCs/>
          <w:sz w:val="20"/>
          <w:szCs w:val="20"/>
          <w:lang w:eastAsia="en-AU"/>
        </w:rPr>
        <w:t>d</w:t>
      </w:r>
      <w:r w:rsidRPr="00DC2375">
        <w:rPr>
          <w:rFonts w:cs="Arial"/>
          <w:iCs/>
          <w:sz w:val="20"/>
          <w:szCs w:val="20"/>
          <w:lang w:eastAsia="en-AU"/>
        </w:rPr>
        <w:t>ifucosyl-D-lactose</w:t>
      </w:r>
      <w:r w:rsidRPr="00F01472">
        <w:rPr>
          <w:rFonts w:cs="Arial"/>
          <w:iCs/>
          <w:sz w:val="20"/>
          <w:szCs w:val="20"/>
          <w:lang w:eastAsia="en-AU"/>
        </w:rPr>
        <w:t xml:space="preserve">—not more than </w:t>
      </w:r>
      <w:r w:rsidRPr="00DC2375">
        <w:rPr>
          <w:rFonts w:cs="Arial"/>
          <w:iCs/>
          <w:sz w:val="20"/>
          <w:szCs w:val="20"/>
          <w:lang w:eastAsia="en-AU"/>
        </w:rPr>
        <w:t>5</w:t>
      </w:r>
      <w:r>
        <w:rPr>
          <w:rFonts w:cs="Arial"/>
          <w:iCs/>
          <w:sz w:val="20"/>
          <w:szCs w:val="20"/>
          <w:lang w:eastAsia="en-AU"/>
        </w:rPr>
        <w:t>.</w:t>
      </w:r>
      <w:r w:rsidRPr="00DC2375">
        <w:rPr>
          <w:rFonts w:cs="Arial"/>
          <w:iCs/>
          <w:sz w:val="20"/>
          <w:szCs w:val="20"/>
          <w:lang w:eastAsia="en-AU"/>
        </w:rPr>
        <w:t>0 %</w:t>
      </w:r>
      <w:r>
        <w:rPr>
          <w:rFonts w:cs="Arial"/>
          <w:iCs/>
          <w:sz w:val="20"/>
          <w:szCs w:val="20"/>
          <w:lang w:eastAsia="en-AU"/>
        </w:rPr>
        <w:t>;</w:t>
      </w:r>
    </w:p>
    <w:p w14:paraId="232B87BF" w14:textId="77777777" w:rsidR="00D76271" w:rsidRPr="00FA1DB3" w:rsidRDefault="00D76271" w:rsidP="00D76271">
      <w:pPr>
        <w:tabs>
          <w:tab w:val="left" w:pos="1701"/>
        </w:tabs>
        <w:spacing w:before="60" w:beforeAutospacing="0" w:after="60" w:afterAutospacing="0"/>
        <w:ind w:left="2268" w:hanging="2268"/>
        <w:rPr>
          <w:rFonts w:cs="Arial"/>
          <w:iCs/>
          <w:sz w:val="20"/>
          <w:szCs w:val="20"/>
          <w:lang w:eastAsia="en-AU" w:bidi="ar-SA"/>
        </w:rPr>
      </w:pPr>
      <w:r w:rsidRPr="00FA1DB3">
        <w:rPr>
          <w:rFonts w:cs="Arial"/>
          <w:iCs/>
          <w:sz w:val="20"/>
          <w:szCs w:val="20"/>
          <w:lang w:eastAsia="en-AU" w:bidi="ar-SA"/>
        </w:rPr>
        <w:tab/>
        <w:t>(j)</w:t>
      </w:r>
      <w:r w:rsidRPr="00FA1DB3">
        <w:rPr>
          <w:rFonts w:cs="Arial"/>
          <w:iCs/>
          <w:sz w:val="20"/>
          <w:szCs w:val="20"/>
          <w:lang w:eastAsia="en-AU" w:bidi="ar-SA"/>
        </w:rPr>
        <w:tab/>
        <w:t>2</w:t>
      </w:r>
      <w:r w:rsidRPr="00DC2375">
        <w:rPr>
          <w:rFonts w:cs="Arial"/>
          <w:iCs/>
          <w:sz w:val="20"/>
          <w:szCs w:val="20"/>
          <w:lang w:eastAsia="en-AU"/>
        </w:rPr>
        <w:t>′-</w:t>
      </w:r>
      <w:r>
        <w:rPr>
          <w:rFonts w:cs="Arial"/>
          <w:iCs/>
          <w:sz w:val="20"/>
          <w:szCs w:val="20"/>
          <w:lang w:eastAsia="en-AU"/>
        </w:rPr>
        <w:t>f</w:t>
      </w:r>
      <w:r w:rsidRPr="00DC2375">
        <w:rPr>
          <w:rFonts w:cs="Arial"/>
          <w:iCs/>
          <w:sz w:val="20"/>
          <w:szCs w:val="20"/>
          <w:lang w:eastAsia="en-AU"/>
        </w:rPr>
        <w:t>ucosyl-D-lactulose</w:t>
      </w:r>
      <w:r w:rsidRPr="00F01472">
        <w:rPr>
          <w:rFonts w:cs="Arial"/>
          <w:iCs/>
          <w:sz w:val="20"/>
          <w:szCs w:val="20"/>
          <w:lang w:eastAsia="en-AU"/>
        </w:rPr>
        <w:t xml:space="preserve">—not more than </w:t>
      </w:r>
      <w:r w:rsidRPr="00DC2375">
        <w:rPr>
          <w:rFonts w:cs="Arial"/>
          <w:iCs/>
          <w:sz w:val="20"/>
          <w:szCs w:val="20"/>
          <w:lang w:eastAsia="en-AU"/>
        </w:rPr>
        <w:t>1</w:t>
      </w:r>
      <w:r>
        <w:rPr>
          <w:rFonts w:cs="Arial"/>
          <w:iCs/>
          <w:sz w:val="20"/>
          <w:szCs w:val="20"/>
          <w:lang w:eastAsia="en-AU"/>
        </w:rPr>
        <w:t>.</w:t>
      </w:r>
      <w:r w:rsidRPr="00DC2375">
        <w:rPr>
          <w:rFonts w:cs="Arial"/>
          <w:iCs/>
          <w:sz w:val="20"/>
          <w:szCs w:val="20"/>
          <w:lang w:eastAsia="en-AU"/>
        </w:rPr>
        <w:t>5 %</w:t>
      </w:r>
      <w:r>
        <w:rPr>
          <w:rFonts w:cs="Arial"/>
          <w:iCs/>
          <w:sz w:val="20"/>
          <w:szCs w:val="20"/>
          <w:lang w:eastAsia="en-AU"/>
        </w:rPr>
        <w:t>;</w:t>
      </w:r>
    </w:p>
    <w:p w14:paraId="58036069" w14:textId="77777777" w:rsidR="00D76271" w:rsidRPr="00FA1DB3" w:rsidRDefault="00D76271" w:rsidP="00D76271">
      <w:pPr>
        <w:tabs>
          <w:tab w:val="left" w:pos="1701"/>
        </w:tabs>
        <w:spacing w:before="60" w:beforeAutospacing="0" w:after="60" w:afterAutospacing="0"/>
        <w:ind w:left="2268" w:hanging="2268"/>
        <w:rPr>
          <w:rFonts w:cs="Arial"/>
          <w:iCs/>
          <w:sz w:val="20"/>
          <w:szCs w:val="20"/>
          <w:lang w:eastAsia="en-AU" w:bidi="ar-SA"/>
        </w:rPr>
      </w:pPr>
      <w:r w:rsidRPr="00FA1DB3">
        <w:rPr>
          <w:rFonts w:cs="Arial"/>
          <w:iCs/>
          <w:sz w:val="20"/>
          <w:szCs w:val="20"/>
          <w:lang w:eastAsia="en-AU" w:bidi="ar-SA"/>
        </w:rPr>
        <w:tab/>
        <w:t>(k)</w:t>
      </w:r>
      <w:r w:rsidRPr="00FA1DB3">
        <w:rPr>
          <w:rFonts w:cs="Arial"/>
          <w:iCs/>
          <w:sz w:val="20"/>
          <w:szCs w:val="20"/>
          <w:lang w:eastAsia="en-AU" w:bidi="ar-SA"/>
        </w:rPr>
        <w:tab/>
      </w:r>
      <w:r>
        <w:rPr>
          <w:rFonts w:cs="Arial"/>
          <w:iCs/>
          <w:sz w:val="20"/>
          <w:szCs w:val="20"/>
          <w:lang w:eastAsia="en-AU" w:bidi="ar-SA"/>
        </w:rPr>
        <w:t>s</w:t>
      </w:r>
      <w:r w:rsidRPr="00DC2375">
        <w:rPr>
          <w:rFonts w:cs="Arial"/>
          <w:iCs/>
          <w:sz w:val="20"/>
          <w:szCs w:val="20"/>
          <w:lang w:eastAsia="en-AU"/>
        </w:rPr>
        <w:t>um of saccharides (2′-</w:t>
      </w:r>
      <w:r>
        <w:rPr>
          <w:rFonts w:cs="Arial"/>
          <w:iCs/>
          <w:sz w:val="20"/>
          <w:szCs w:val="20"/>
          <w:lang w:eastAsia="en-AU"/>
        </w:rPr>
        <w:t>FL</w:t>
      </w:r>
      <w:r w:rsidRPr="00DC2375">
        <w:rPr>
          <w:rFonts w:cs="Arial"/>
          <w:iCs/>
          <w:sz w:val="20"/>
          <w:szCs w:val="20"/>
          <w:lang w:eastAsia="en-AU"/>
        </w:rPr>
        <w:t>, D-</w:t>
      </w:r>
      <w:r>
        <w:rPr>
          <w:rFonts w:cs="Arial"/>
          <w:iCs/>
          <w:sz w:val="20"/>
          <w:szCs w:val="20"/>
          <w:lang w:eastAsia="en-AU"/>
        </w:rPr>
        <w:t>l</w:t>
      </w:r>
      <w:r w:rsidRPr="00DC2375">
        <w:rPr>
          <w:rFonts w:cs="Arial"/>
          <w:iCs/>
          <w:sz w:val="20"/>
          <w:szCs w:val="20"/>
          <w:lang w:eastAsia="en-AU"/>
        </w:rPr>
        <w:t>actose, L-</w:t>
      </w:r>
      <w:r>
        <w:rPr>
          <w:rFonts w:cs="Arial"/>
          <w:iCs/>
          <w:sz w:val="20"/>
          <w:szCs w:val="20"/>
          <w:lang w:eastAsia="en-AU"/>
        </w:rPr>
        <w:t>f</w:t>
      </w:r>
      <w:r w:rsidRPr="00DC2375">
        <w:rPr>
          <w:rFonts w:cs="Arial"/>
          <w:iCs/>
          <w:sz w:val="20"/>
          <w:szCs w:val="20"/>
          <w:lang w:eastAsia="en-AU"/>
        </w:rPr>
        <w:t xml:space="preserve">ucose, </w:t>
      </w:r>
      <w:r>
        <w:rPr>
          <w:rFonts w:cs="Arial"/>
          <w:iCs/>
          <w:sz w:val="20"/>
          <w:szCs w:val="20"/>
          <w:lang w:eastAsia="en-AU"/>
        </w:rPr>
        <w:t>d</w:t>
      </w:r>
      <w:r w:rsidRPr="00DC2375">
        <w:rPr>
          <w:rFonts w:cs="Arial"/>
          <w:iCs/>
          <w:sz w:val="20"/>
          <w:szCs w:val="20"/>
          <w:lang w:eastAsia="en-AU"/>
        </w:rPr>
        <w:t>ifucosyl-D-lactose</w:t>
      </w:r>
      <w:r>
        <w:rPr>
          <w:rFonts w:cs="Arial"/>
          <w:iCs/>
          <w:sz w:val="20"/>
          <w:szCs w:val="20"/>
          <w:lang w:eastAsia="en-AU"/>
        </w:rPr>
        <w:t xml:space="preserve">, </w:t>
      </w:r>
      <w:r>
        <w:rPr>
          <w:rFonts w:cs="Arial"/>
          <w:iCs/>
          <w:sz w:val="20"/>
          <w:szCs w:val="20"/>
          <w:lang w:eastAsia="en-AU" w:bidi="ar-SA"/>
        </w:rPr>
        <w:t>2</w:t>
      </w:r>
      <w:r>
        <w:rPr>
          <w:rFonts w:cs="Arial"/>
          <w:iCs/>
          <w:sz w:val="20"/>
          <w:szCs w:val="20"/>
          <w:lang w:eastAsia="en-AU"/>
        </w:rPr>
        <w:t>′-fucosyl-D-lactulose)</w:t>
      </w:r>
      <w:r w:rsidRPr="00A80101">
        <w:rPr>
          <w:rFonts w:cs="Arial"/>
          <w:iCs/>
          <w:sz w:val="20"/>
          <w:szCs w:val="20"/>
          <w:lang w:eastAsia="en-AU"/>
        </w:rPr>
        <w:t>—not less than</w:t>
      </w:r>
      <w:r>
        <w:rPr>
          <w:rFonts w:cs="Arial"/>
          <w:iCs/>
          <w:sz w:val="20"/>
          <w:szCs w:val="20"/>
          <w:lang w:eastAsia="en-AU"/>
        </w:rPr>
        <w:t xml:space="preserve"> 90%;</w:t>
      </w:r>
    </w:p>
    <w:p w14:paraId="14967490" w14:textId="77777777" w:rsidR="00D76271" w:rsidRPr="00FA1DB3" w:rsidRDefault="00D76271" w:rsidP="00D76271">
      <w:pPr>
        <w:tabs>
          <w:tab w:val="left" w:pos="1701"/>
        </w:tabs>
        <w:spacing w:before="60" w:beforeAutospacing="0" w:after="60" w:afterAutospacing="0"/>
        <w:ind w:left="2268" w:hanging="2268"/>
        <w:rPr>
          <w:rFonts w:cs="Arial"/>
          <w:iCs/>
          <w:sz w:val="20"/>
          <w:szCs w:val="20"/>
          <w:lang w:eastAsia="en-AU" w:bidi="ar-SA"/>
        </w:rPr>
      </w:pPr>
      <w:r>
        <w:rPr>
          <w:rFonts w:cs="Arial"/>
          <w:iCs/>
          <w:sz w:val="20"/>
          <w:szCs w:val="20"/>
          <w:lang w:eastAsia="en-AU" w:bidi="ar-SA"/>
        </w:rPr>
        <w:tab/>
        <w:t>(l</w:t>
      </w:r>
      <w:r w:rsidRPr="00FA1DB3">
        <w:rPr>
          <w:rFonts w:cs="Arial"/>
          <w:iCs/>
          <w:sz w:val="20"/>
          <w:szCs w:val="20"/>
          <w:lang w:eastAsia="en-AU" w:bidi="ar-SA"/>
        </w:rPr>
        <w:t>)</w:t>
      </w:r>
      <w:r w:rsidRPr="00FA1DB3">
        <w:rPr>
          <w:rFonts w:cs="Arial"/>
          <w:iCs/>
          <w:sz w:val="20"/>
          <w:szCs w:val="20"/>
          <w:lang w:eastAsia="en-AU" w:bidi="ar-SA"/>
        </w:rPr>
        <w:tab/>
      </w:r>
      <w:r>
        <w:rPr>
          <w:rFonts w:cs="Arial"/>
          <w:iCs/>
          <w:sz w:val="20"/>
          <w:szCs w:val="20"/>
          <w:lang w:eastAsia="en-AU"/>
        </w:rPr>
        <w:t>p</w:t>
      </w:r>
      <w:r w:rsidRPr="00DC2375">
        <w:rPr>
          <w:rFonts w:cs="Arial"/>
          <w:iCs/>
          <w:sz w:val="20"/>
          <w:szCs w:val="20"/>
          <w:lang w:eastAsia="en-AU"/>
        </w:rPr>
        <w:t>H (20</w:t>
      </w:r>
      <w:r>
        <w:rPr>
          <w:rFonts w:cs="Arial"/>
          <w:iCs/>
          <w:sz w:val="20"/>
          <w:szCs w:val="20"/>
          <w:lang w:eastAsia="en-AU"/>
        </w:rPr>
        <w:t>°</w:t>
      </w:r>
      <w:r w:rsidRPr="00DC2375">
        <w:rPr>
          <w:rFonts w:cs="Arial"/>
          <w:iCs/>
          <w:sz w:val="20"/>
          <w:szCs w:val="20"/>
          <w:lang w:eastAsia="en-AU"/>
        </w:rPr>
        <w:t>C, 5% solution)</w:t>
      </w:r>
      <w:r w:rsidRPr="00E8615F">
        <w:rPr>
          <w:rFonts w:cs="Arial"/>
          <w:iCs/>
          <w:sz w:val="20"/>
          <w:szCs w:val="20"/>
          <w:lang w:eastAsia="en-AU"/>
        </w:rPr>
        <w:t>—</w:t>
      </w:r>
      <w:r w:rsidRPr="00DC2375">
        <w:rPr>
          <w:rFonts w:cs="Arial"/>
          <w:iCs/>
          <w:sz w:val="20"/>
          <w:szCs w:val="20"/>
          <w:lang w:eastAsia="en-AU"/>
        </w:rPr>
        <w:t>3</w:t>
      </w:r>
      <w:r>
        <w:rPr>
          <w:rFonts w:cs="Arial"/>
          <w:iCs/>
          <w:sz w:val="20"/>
          <w:szCs w:val="20"/>
          <w:lang w:eastAsia="en-AU"/>
        </w:rPr>
        <w:t>.</w:t>
      </w:r>
      <w:r w:rsidRPr="00DC2375">
        <w:rPr>
          <w:rFonts w:cs="Arial"/>
          <w:iCs/>
          <w:sz w:val="20"/>
          <w:szCs w:val="20"/>
          <w:lang w:eastAsia="en-AU"/>
        </w:rPr>
        <w:t>0-7</w:t>
      </w:r>
      <w:r>
        <w:rPr>
          <w:rFonts w:cs="Arial"/>
          <w:iCs/>
          <w:sz w:val="20"/>
          <w:szCs w:val="20"/>
          <w:lang w:eastAsia="en-AU"/>
        </w:rPr>
        <w:t>.</w:t>
      </w:r>
      <w:r w:rsidRPr="00DC2375">
        <w:rPr>
          <w:rFonts w:cs="Arial"/>
          <w:iCs/>
          <w:sz w:val="20"/>
          <w:szCs w:val="20"/>
          <w:lang w:eastAsia="en-AU"/>
        </w:rPr>
        <w:t>5;</w:t>
      </w:r>
    </w:p>
    <w:p w14:paraId="6B0278AC" w14:textId="77777777" w:rsidR="00D76271" w:rsidRPr="00FA1DB3" w:rsidRDefault="00D76271" w:rsidP="00D76271">
      <w:pPr>
        <w:tabs>
          <w:tab w:val="left" w:pos="1701"/>
        </w:tabs>
        <w:spacing w:before="60" w:beforeAutospacing="0" w:after="60" w:afterAutospacing="0"/>
        <w:ind w:left="2268" w:hanging="2268"/>
        <w:rPr>
          <w:rFonts w:cs="Arial"/>
          <w:iCs/>
          <w:sz w:val="20"/>
          <w:szCs w:val="20"/>
          <w:lang w:eastAsia="en-AU" w:bidi="ar-SA"/>
        </w:rPr>
      </w:pPr>
      <w:r>
        <w:rPr>
          <w:rFonts w:cs="Arial"/>
          <w:iCs/>
          <w:sz w:val="20"/>
          <w:szCs w:val="20"/>
          <w:lang w:eastAsia="en-AU" w:bidi="ar-SA"/>
        </w:rPr>
        <w:tab/>
        <w:t>(m</w:t>
      </w:r>
      <w:r w:rsidRPr="00FA1DB3">
        <w:rPr>
          <w:rFonts w:cs="Arial"/>
          <w:iCs/>
          <w:sz w:val="20"/>
          <w:szCs w:val="20"/>
          <w:lang w:eastAsia="en-AU" w:bidi="ar-SA"/>
        </w:rPr>
        <w:t>)</w:t>
      </w:r>
      <w:r w:rsidRPr="00FA1DB3">
        <w:rPr>
          <w:rFonts w:cs="Arial"/>
          <w:iCs/>
          <w:sz w:val="20"/>
          <w:szCs w:val="20"/>
          <w:lang w:eastAsia="en-AU" w:bidi="ar-SA"/>
        </w:rPr>
        <w:tab/>
      </w:r>
      <w:r>
        <w:rPr>
          <w:rFonts w:cs="Arial"/>
          <w:iCs/>
          <w:sz w:val="20"/>
          <w:szCs w:val="20"/>
          <w:lang w:eastAsia="en-AU" w:bidi="ar-SA"/>
        </w:rPr>
        <w:t>water</w:t>
      </w:r>
      <w:r w:rsidRPr="00E8615F">
        <w:rPr>
          <w:rFonts w:cs="Arial"/>
          <w:iCs/>
          <w:sz w:val="20"/>
          <w:szCs w:val="20"/>
          <w:lang w:eastAsia="en-AU"/>
        </w:rPr>
        <w:t>—</w:t>
      </w:r>
      <w:r w:rsidRPr="00F01472">
        <w:rPr>
          <w:rFonts w:cs="Arial"/>
          <w:iCs/>
          <w:sz w:val="20"/>
          <w:szCs w:val="20"/>
          <w:lang w:eastAsia="en-AU"/>
        </w:rPr>
        <w:t xml:space="preserve">not more than </w:t>
      </w:r>
      <w:r w:rsidRPr="00DC2375">
        <w:rPr>
          <w:rFonts w:cs="Arial"/>
          <w:iCs/>
          <w:sz w:val="20"/>
          <w:szCs w:val="20"/>
          <w:lang w:eastAsia="en-AU"/>
        </w:rPr>
        <w:t>9</w:t>
      </w:r>
      <w:r>
        <w:rPr>
          <w:rFonts w:cs="Arial"/>
          <w:iCs/>
          <w:sz w:val="20"/>
          <w:szCs w:val="20"/>
          <w:lang w:eastAsia="en-AU"/>
        </w:rPr>
        <w:t>.</w:t>
      </w:r>
      <w:r w:rsidRPr="00DC2375">
        <w:rPr>
          <w:rFonts w:cs="Arial"/>
          <w:iCs/>
          <w:sz w:val="20"/>
          <w:szCs w:val="20"/>
          <w:lang w:eastAsia="en-AU"/>
        </w:rPr>
        <w:t>0%;</w:t>
      </w:r>
    </w:p>
    <w:p w14:paraId="58DC5FCF" w14:textId="77777777" w:rsidR="00D76271" w:rsidRPr="00FA1DB3" w:rsidRDefault="00D76271" w:rsidP="00D76271">
      <w:pPr>
        <w:tabs>
          <w:tab w:val="left" w:pos="1701"/>
        </w:tabs>
        <w:spacing w:before="60" w:beforeAutospacing="0" w:after="60" w:afterAutospacing="0"/>
        <w:ind w:left="2268" w:hanging="2268"/>
        <w:rPr>
          <w:rFonts w:cs="Arial"/>
          <w:iCs/>
          <w:sz w:val="20"/>
          <w:szCs w:val="20"/>
          <w:lang w:eastAsia="en-AU" w:bidi="ar-SA"/>
        </w:rPr>
      </w:pPr>
      <w:r>
        <w:rPr>
          <w:rFonts w:cs="Arial"/>
          <w:iCs/>
          <w:sz w:val="20"/>
          <w:szCs w:val="20"/>
          <w:lang w:eastAsia="en-AU" w:bidi="ar-SA"/>
        </w:rPr>
        <w:tab/>
        <w:t>(n</w:t>
      </w:r>
      <w:r w:rsidRPr="00FA1DB3">
        <w:rPr>
          <w:rFonts w:cs="Arial"/>
          <w:iCs/>
          <w:sz w:val="20"/>
          <w:szCs w:val="20"/>
          <w:lang w:eastAsia="en-AU" w:bidi="ar-SA"/>
        </w:rPr>
        <w:t>)</w:t>
      </w:r>
      <w:r w:rsidRPr="00FA1DB3">
        <w:rPr>
          <w:rFonts w:cs="Arial"/>
          <w:iCs/>
          <w:sz w:val="20"/>
          <w:szCs w:val="20"/>
          <w:lang w:eastAsia="en-AU" w:bidi="ar-SA"/>
        </w:rPr>
        <w:tab/>
      </w:r>
      <w:r w:rsidRPr="00DC2375">
        <w:rPr>
          <w:rFonts w:cs="Arial"/>
          <w:iCs/>
          <w:sz w:val="20"/>
          <w:szCs w:val="20"/>
          <w:lang w:eastAsia="en-AU"/>
        </w:rPr>
        <w:t>ash</w:t>
      </w:r>
      <w:r>
        <w:rPr>
          <w:rFonts w:cs="Arial"/>
          <w:iCs/>
          <w:sz w:val="20"/>
          <w:szCs w:val="20"/>
          <w:lang w:eastAsia="en-AU"/>
        </w:rPr>
        <w:t>, s</w:t>
      </w:r>
      <w:r w:rsidRPr="00DC2375">
        <w:rPr>
          <w:rFonts w:cs="Arial"/>
          <w:iCs/>
          <w:sz w:val="20"/>
          <w:szCs w:val="20"/>
          <w:lang w:eastAsia="en-AU"/>
        </w:rPr>
        <w:t>ulphated</w:t>
      </w:r>
      <w:r w:rsidRPr="00E8615F">
        <w:rPr>
          <w:rFonts w:cs="Arial"/>
          <w:iCs/>
          <w:sz w:val="20"/>
          <w:szCs w:val="20"/>
          <w:lang w:eastAsia="en-AU"/>
        </w:rPr>
        <w:t>—</w:t>
      </w:r>
      <w:r w:rsidRPr="00F01472">
        <w:rPr>
          <w:rFonts w:cs="Arial"/>
          <w:iCs/>
          <w:sz w:val="20"/>
          <w:szCs w:val="20"/>
          <w:lang w:eastAsia="en-AU"/>
        </w:rPr>
        <w:t xml:space="preserve">not more than </w:t>
      </w:r>
      <w:r w:rsidRPr="00DC2375">
        <w:rPr>
          <w:rFonts w:cs="Arial"/>
          <w:iCs/>
          <w:sz w:val="20"/>
          <w:szCs w:val="20"/>
          <w:lang w:eastAsia="en-AU"/>
        </w:rPr>
        <w:t>2</w:t>
      </w:r>
      <w:r>
        <w:rPr>
          <w:rFonts w:cs="Arial"/>
          <w:iCs/>
          <w:sz w:val="20"/>
          <w:szCs w:val="20"/>
          <w:lang w:eastAsia="en-AU"/>
        </w:rPr>
        <w:t>.</w:t>
      </w:r>
      <w:r w:rsidRPr="00DC2375">
        <w:rPr>
          <w:rFonts w:cs="Arial"/>
          <w:iCs/>
          <w:sz w:val="20"/>
          <w:szCs w:val="20"/>
          <w:lang w:eastAsia="en-AU"/>
        </w:rPr>
        <w:t>0%</w:t>
      </w:r>
      <w:r>
        <w:rPr>
          <w:rFonts w:cs="Arial"/>
          <w:iCs/>
          <w:sz w:val="20"/>
          <w:szCs w:val="20"/>
          <w:lang w:eastAsia="en-AU"/>
        </w:rPr>
        <w:t>;</w:t>
      </w:r>
    </w:p>
    <w:p w14:paraId="195475D2" w14:textId="77777777" w:rsidR="00D76271" w:rsidRPr="00FA1DB3" w:rsidRDefault="00D76271" w:rsidP="00D76271">
      <w:pPr>
        <w:tabs>
          <w:tab w:val="left" w:pos="1701"/>
        </w:tabs>
        <w:spacing w:before="60" w:beforeAutospacing="0" w:after="60" w:afterAutospacing="0"/>
        <w:ind w:left="2268" w:hanging="2268"/>
        <w:rPr>
          <w:rFonts w:cs="Arial"/>
          <w:iCs/>
          <w:sz w:val="20"/>
          <w:szCs w:val="20"/>
          <w:lang w:eastAsia="en-AU" w:bidi="ar-SA"/>
        </w:rPr>
      </w:pPr>
      <w:r>
        <w:rPr>
          <w:rFonts w:cs="Arial"/>
          <w:iCs/>
          <w:sz w:val="20"/>
          <w:szCs w:val="20"/>
          <w:lang w:eastAsia="en-AU" w:bidi="ar-SA"/>
        </w:rPr>
        <w:tab/>
        <w:t>(o</w:t>
      </w:r>
      <w:r w:rsidRPr="00FA1DB3">
        <w:rPr>
          <w:rFonts w:cs="Arial"/>
          <w:iCs/>
          <w:sz w:val="20"/>
          <w:szCs w:val="20"/>
          <w:lang w:eastAsia="en-AU" w:bidi="ar-SA"/>
        </w:rPr>
        <w:t>)</w:t>
      </w:r>
      <w:r w:rsidRPr="00FA1DB3">
        <w:rPr>
          <w:rFonts w:cs="Arial"/>
          <w:iCs/>
          <w:sz w:val="20"/>
          <w:szCs w:val="20"/>
          <w:lang w:eastAsia="en-AU" w:bidi="ar-SA"/>
        </w:rPr>
        <w:tab/>
      </w:r>
      <w:r>
        <w:rPr>
          <w:rFonts w:cs="Arial"/>
          <w:iCs/>
          <w:sz w:val="20"/>
          <w:szCs w:val="20"/>
          <w:lang w:eastAsia="en-AU"/>
        </w:rPr>
        <w:t>a</w:t>
      </w:r>
      <w:r w:rsidRPr="00DC2375">
        <w:rPr>
          <w:rFonts w:cs="Arial"/>
          <w:iCs/>
          <w:sz w:val="20"/>
          <w:szCs w:val="20"/>
          <w:lang w:eastAsia="en-AU"/>
        </w:rPr>
        <w:t>cetic acid</w:t>
      </w:r>
      <w:r w:rsidRPr="00F01472">
        <w:rPr>
          <w:rFonts w:cs="Arial"/>
          <w:iCs/>
          <w:sz w:val="20"/>
          <w:szCs w:val="20"/>
          <w:lang w:eastAsia="en-AU"/>
        </w:rPr>
        <w:t>—not more than</w:t>
      </w:r>
      <w:r w:rsidRPr="00DC2375">
        <w:rPr>
          <w:rFonts w:cs="Arial"/>
          <w:iCs/>
          <w:sz w:val="20"/>
          <w:szCs w:val="20"/>
          <w:lang w:eastAsia="en-AU"/>
        </w:rPr>
        <w:t xml:space="preserve"> 1</w:t>
      </w:r>
      <w:r>
        <w:rPr>
          <w:rFonts w:cs="Arial"/>
          <w:iCs/>
          <w:sz w:val="20"/>
          <w:szCs w:val="20"/>
          <w:lang w:eastAsia="en-AU"/>
        </w:rPr>
        <w:t>.</w:t>
      </w:r>
      <w:r w:rsidRPr="00DC2375">
        <w:rPr>
          <w:rFonts w:cs="Arial"/>
          <w:iCs/>
          <w:sz w:val="20"/>
          <w:szCs w:val="20"/>
          <w:lang w:eastAsia="en-AU"/>
        </w:rPr>
        <w:t>0%;</w:t>
      </w:r>
    </w:p>
    <w:p w14:paraId="5838C929" w14:textId="77777777" w:rsidR="00D76271" w:rsidRPr="00FA1DB3" w:rsidRDefault="00D76271" w:rsidP="00D76271">
      <w:pPr>
        <w:tabs>
          <w:tab w:val="left" w:pos="1701"/>
        </w:tabs>
        <w:spacing w:before="60" w:beforeAutospacing="0" w:after="60" w:afterAutospacing="0"/>
        <w:ind w:left="2268" w:hanging="2268"/>
        <w:rPr>
          <w:rFonts w:cs="Arial"/>
          <w:iCs/>
          <w:sz w:val="20"/>
          <w:szCs w:val="20"/>
          <w:lang w:eastAsia="en-AU" w:bidi="ar-SA"/>
        </w:rPr>
      </w:pPr>
      <w:r>
        <w:rPr>
          <w:rFonts w:cs="Arial"/>
          <w:iCs/>
          <w:sz w:val="20"/>
          <w:szCs w:val="20"/>
          <w:lang w:eastAsia="en-AU" w:bidi="ar-SA"/>
        </w:rPr>
        <w:tab/>
        <w:t>(p</w:t>
      </w:r>
      <w:r w:rsidRPr="00FA1DB3">
        <w:rPr>
          <w:rFonts w:cs="Arial"/>
          <w:iCs/>
          <w:sz w:val="20"/>
          <w:szCs w:val="20"/>
          <w:lang w:eastAsia="en-AU" w:bidi="ar-SA"/>
        </w:rPr>
        <w:t>)</w:t>
      </w:r>
      <w:r w:rsidRPr="00FA1DB3">
        <w:rPr>
          <w:rFonts w:cs="Arial"/>
          <w:iCs/>
          <w:sz w:val="20"/>
          <w:szCs w:val="20"/>
          <w:lang w:eastAsia="en-AU" w:bidi="ar-SA"/>
        </w:rPr>
        <w:tab/>
      </w:r>
      <w:r>
        <w:rPr>
          <w:rFonts w:cs="Arial"/>
          <w:iCs/>
          <w:sz w:val="20"/>
          <w:szCs w:val="20"/>
          <w:lang w:eastAsia="en-AU"/>
        </w:rPr>
        <w:t>r</w:t>
      </w:r>
      <w:r w:rsidRPr="00DC2375">
        <w:rPr>
          <w:rFonts w:cs="Arial"/>
          <w:iCs/>
          <w:sz w:val="20"/>
          <w:szCs w:val="20"/>
          <w:lang w:eastAsia="en-AU"/>
        </w:rPr>
        <w:t>esidual proteins</w:t>
      </w:r>
      <w:r w:rsidRPr="00F01472">
        <w:rPr>
          <w:rFonts w:cs="Arial"/>
          <w:iCs/>
          <w:sz w:val="20"/>
          <w:szCs w:val="20"/>
          <w:lang w:eastAsia="en-AU"/>
        </w:rPr>
        <w:t>—</w:t>
      </w:r>
      <w:r w:rsidRPr="00FA1DB3">
        <w:rPr>
          <w:rFonts w:cs="Arial"/>
          <w:iCs/>
          <w:sz w:val="20"/>
          <w:szCs w:val="20"/>
          <w:lang w:eastAsia="en-AU"/>
        </w:rPr>
        <w:t>not more than</w:t>
      </w:r>
      <w:r w:rsidRPr="00DC2375">
        <w:rPr>
          <w:rFonts w:cs="Arial"/>
          <w:iCs/>
          <w:sz w:val="20"/>
          <w:szCs w:val="20"/>
          <w:lang w:eastAsia="en-AU"/>
        </w:rPr>
        <w:t xml:space="preserve"> 0</w:t>
      </w:r>
      <w:r>
        <w:rPr>
          <w:rFonts w:cs="Arial"/>
          <w:iCs/>
          <w:sz w:val="20"/>
          <w:szCs w:val="20"/>
          <w:lang w:eastAsia="en-AU"/>
        </w:rPr>
        <w:t>.</w:t>
      </w:r>
      <w:r w:rsidRPr="00DC2375">
        <w:rPr>
          <w:rFonts w:cs="Arial"/>
          <w:iCs/>
          <w:sz w:val="20"/>
          <w:szCs w:val="20"/>
          <w:lang w:eastAsia="en-AU"/>
        </w:rPr>
        <w:t>01%;</w:t>
      </w:r>
    </w:p>
    <w:p w14:paraId="158A1BDD" w14:textId="77777777" w:rsidR="00D76271" w:rsidRPr="00FA1DB3" w:rsidRDefault="00D76271" w:rsidP="00D76271">
      <w:pPr>
        <w:tabs>
          <w:tab w:val="left" w:pos="1701"/>
        </w:tabs>
        <w:spacing w:before="60" w:beforeAutospacing="0" w:after="60" w:afterAutospacing="0"/>
        <w:ind w:left="2268" w:hanging="2268"/>
        <w:rPr>
          <w:rFonts w:cs="Arial"/>
          <w:iCs/>
          <w:sz w:val="20"/>
          <w:szCs w:val="20"/>
          <w:lang w:eastAsia="en-AU" w:bidi="ar-SA"/>
        </w:rPr>
      </w:pPr>
      <w:r w:rsidRPr="00FA1DB3">
        <w:rPr>
          <w:rFonts w:cs="Arial"/>
          <w:iCs/>
          <w:sz w:val="20"/>
          <w:szCs w:val="20"/>
          <w:lang w:eastAsia="en-AU" w:bidi="ar-SA"/>
        </w:rPr>
        <w:tab/>
        <w:t>(</w:t>
      </w:r>
      <w:r>
        <w:rPr>
          <w:rFonts w:cs="Arial"/>
          <w:iCs/>
          <w:sz w:val="20"/>
          <w:szCs w:val="20"/>
          <w:lang w:eastAsia="en-AU" w:bidi="ar-SA"/>
        </w:rPr>
        <w:t>q</w:t>
      </w:r>
      <w:r w:rsidRPr="00FA1DB3">
        <w:rPr>
          <w:rFonts w:cs="Arial"/>
          <w:iCs/>
          <w:sz w:val="20"/>
          <w:szCs w:val="20"/>
          <w:lang w:eastAsia="en-AU" w:bidi="ar-SA"/>
        </w:rPr>
        <w:t>)</w:t>
      </w:r>
      <w:r w:rsidRPr="00FA1DB3">
        <w:rPr>
          <w:rFonts w:cs="Arial"/>
          <w:iCs/>
          <w:sz w:val="20"/>
          <w:szCs w:val="20"/>
          <w:lang w:eastAsia="en-AU" w:bidi="ar-SA"/>
        </w:rPr>
        <w:tab/>
        <w:t>microbiological:</w:t>
      </w:r>
    </w:p>
    <w:p w14:paraId="6E5BAB53" w14:textId="77777777" w:rsidR="00D76271" w:rsidRPr="00FA1DB3" w:rsidRDefault="00D76271" w:rsidP="00D76271">
      <w:pPr>
        <w:numPr>
          <w:ilvl w:val="0"/>
          <w:numId w:val="9"/>
        </w:numPr>
        <w:tabs>
          <w:tab w:val="left" w:pos="851"/>
          <w:tab w:val="left" w:pos="2268"/>
          <w:tab w:val="left" w:pos="2835"/>
        </w:tabs>
        <w:spacing w:before="60" w:beforeAutospacing="0" w:after="60" w:afterAutospacing="0"/>
        <w:ind w:left="2268" w:firstLine="0"/>
        <w:rPr>
          <w:rFonts w:cs="Arial"/>
          <w:iCs/>
          <w:sz w:val="20"/>
          <w:szCs w:val="22"/>
          <w:lang w:eastAsia="en-AU"/>
        </w:rPr>
      </w:pPr>
      <w:r>
        <w:rPr>
          <w:rFonts w:cs="Arial"/>
          <w:iCs/>
          <w:sz w:val="20"/>
          <w:szCs w:val="20"/>
          <w:lang w:eastAsia="en-AU" w:bidi="ar-SA"/>
        </w:rPr>
        <w:t>a</w:t>
      </w:r>
      <w:r w:rsidRPr="00FA1DB3">
        <w:rPr>
          <w:rFonts w:cs="Arial"/>
          <w:iCs/>
          <w:sz w:val="20"/>
          <w:szCs w:val="20"/>
          <w:lang w:eastAsia="en-AU" w:bidi="ar-SA"/>
        </w:rPr>
        <w:t xml:space="preserve">erobic mesophilic bacteria total count—not more than 3,000 </w:t>
      </w:r>
      <w:r>
        <w:rPr>
          <w:rFonts w:cs="Arial"/>
          <w:iCs/>
          <w:sz w:val="20"/>
          <w:szCs w:val="20"/>
          <w:lang w:eastAsia="en-AU" w:bidi="ar-SA"/>
        </w:rPr>
        <w:t>cfu</w:t>
      </w:r>
      <w:r w:rsidRPr="00FA1DB3">
        <w:rPr>
          <w:rFonts w:cs="Arial"/>
          <w:iCs/>
          <w:sz w:val="20"/>
          <w:szCs w:val="20"/>
          <w:lang w:eastAsia="en-AU" w:bidi="ar-SA"/>
        </w:rPr>
        <w:t>/g</w:t>
      </w:r>
      <w:r>
        <w:rPr>
          <w:rFonts w:cs="Arial"/>
          <w:iCs/>
          <w:sz w:val="20"/>
          <w:szCs w:val="20"/>
          <w:lang w:eastAsia="en-AU" w:bidi="ar-SA"/>
        </w:rPr>
        <w:t>;</w:t>
      </w:r>
      <w:r w:rsidRPr="00FA1DB3">
        <w:rPr>
          <w:rFonts w:cs="Arial"/>
          <w:iCs/>
          <w:sz w:val="20"/>
          <w:szCs w:val="22"/>
          <w:lang w:eastAsia="en-AU"/>
        </w:rPr>
        <w:t xml:space="preserve"> </w:t>
      </w:r>
    </w:p>
    <w:p w14:paraId="4DC87847" w14:textId="77777777" w:rsidR="00D76271" w:rsidRPr="00FA1DB3" w:rsidRDefault="00D76271" w:rsidP="00D76271">
      <w:pPr>
        <w:numPr>
          <w:ilvl w:val="0"/>
          <w:numId w:val="9"/>
        </w:numPr>
        <w:tabs>
          <w:tab w:val="left" w:pos="851"/>
          <w:tab w:val="left" w:pos="2268"/>
          <w:tab w:val="left" w:pos="2835"/>
        </w:tabs>
        <w:spacing w:before="60" w:beforeAutospacing="0" w:after="60" w:afterAutospacing="0"/>
        <w:ind w:left="2268" w:firstLine="0"/>
        <w:rPr>
          <w:rFonts w:cs="Arial"/>
          <w:iCs/>
          <w:sz w:val="20"/>
          <w:szCs w:val="22"/>
          <w:lang w:eastAsia="en-AU"/>
        </w:rPr>
      </w:pPr>
      <w:r>
        <w:rPr>
          <w:rFonts w:cs="Arial"/>
          <w:iCs/>
          <w:sz w:val="20"/>
          <w:szCs w:val="20"/>
          <w:lang w:eastAsia="en-AU" w:bidi="ar-SA"/>
        </w:rPr>
        <w:t>y</w:t>
      </w:r>
      <w:r w:rsidRPr="00FA1DB3">
        <w:rPr>
          <w:rFonts w:cs="Arial"/>
          <w:iCs/>
          <w:sz w:val="20"/>
          <w:szCs w:val="20"/>
          <w:lang w:eastAsia="en-AU" w:bidi="ar-SA"/>
        </w:rPr>
        <w:t>easts—not more than 10</w:t>
      </w:r>
      <w:r>
        <w:rPr>
          <w:rFonts w:cs="Arial"/>
          <w:iCs/>
          <w:sz w:val="20"/>
          <w:szCs w:val="20"/>
          <w:lang w:eastAsia="en-AU" w:bidi="ar-SA"/>
        </w:rPr>
        <w:t>0</w:t>
      </w:r>
      <w:r w:rsidRPr="00FA1DB3">
        <w:rPr>
          <w:rFonts w:cs="Arial"/>
          <w:iCs/>
          <w:sz w:val="20"/>
          <w:szCs w:val="20"/>
          <w:lang w:eastAsia="en-AU" w:bidi="ar-SA"/>
        </w:rPr>
        <w:t xml:space="preserve"> </w:t>
      </w:r>
      <w:r>
        <w:rPr>
          <w:rFonts w:cs="Arial"/>
          <w:iCs/>
          <w:sz w:val="20"/>
          <w:szCs w:val="20"/>
          <w:lang w:eastAsia="en-AU" w:bidi="ar-SA"/>
        </w:rPr>
        <w:t>cfu</w:t>
      </w:r>
      <w:r w:rsidRPr="00FA1DB3">
        <w:rPr>
          <w:rFonts w:cs="Arial"/>
          <w:iCs/>
          <w:sz w:val="20"/>
          <w:szCs w:val="20"/>
          <w:lang w:eastAsia="en-AU" w:bidi="ar-SA"/>
        </w:rPr>
        <w:t>/</w:t>
      </w:r>
      <w:r w:rsidRPr="00FA1DB3">
        <w:rPr>
          <w:rFonts w:cs="Arial"/>
          <w:iCs/>
          <w:sz w:val="20"/>
          <w:szCs w:val="22"/>
          <w:lang w:eastAsia="en-AU"/>
        </w:rPr>
        <w:t>g</w:t>
      </w:r>
      <w:r>
        <w:rPr>
          <w:rFonts w:cs="Arial"/>
          <w:iCs/>
          <w:sz w:val="20"/>
          <w:szCs w:val="22"/>
          <w:lang w:eastAsia="en-AU"/>
        </w:rPr>
        <w:t>;</w:t>
      </w:r>
    </w:p>
    <w:p w14:paraId="1EBB0FA4" w14:textId="77777777" w:rsidR="00D76271" w:rsidRPr="00FA1DB3" w:rsidRDefault="00D76271" w:rsidP="00D76271">
      <w:pPr>
        <w:numPr>
          <w:ilvl w:val="0"/>
          <w:numId w:val="9"/>
        </w:numPr>
        <w:tabs>
          <w:tab w:val="left" w:pos="851"/>
          <w:tab w:val="left" w:pos="2268"/>
          <w:tab w:val="left" w:pos="2835"/>
        </w:tabs>
        <w:spacing w:before="60" w:beforeAutospacing="0" w:after="60" w:afterAutospacing="0"/>
        <w:ind w:left="2268" w:firstLine="0"/>
        <w:rPr>
          <w:rFonts w:cs="Arial"/>
          <w:iCs/>
          <w:sz w:val="20"/>
          <w:szCs w:val="22"/>
          <w:lang w:eastAsia="en-AU"/>
        </w:rPr>
      </w:pPr>
      <w:r>
        <w:rPr>
          <w:rFonts w:cs="Arial"/>
          <w:iCs/>
          <w:sz w:val="20"/>
          <w:szCs w:val="20"/>
          <w:lang w:eastAsia="en-AU" w:bidi="ar-SA"/>
        </w:rPr>
        <w:t>m</w:t>
      </w:r>
      <w:r w:rsidRPr="00FA1DB3">
        <w:rPr>
          <w:rFonts w:cs="Arial"/>
          <w:iCs/>
          <w:sz w:val="20"/>
          <w:szCs w:val="20"/>
          <w:lang w:eastAsia="en-AU" w:bidi="ar-SA"/>
        </w:rPr>
        <w:t>oulds—not more than 10</w:t>
      </w:r>
      <w:r>
        <w:rPr>
          <w:rFonts w:cs="Arial"/>
          <w:iCs/>
          <w:sz w:val="20"/>
          <w:szCs w:val="20"/>
          <w:lang w:eastAsia="en-AU" w:bidi="ar-SA"/>
        </w:rPr>
        <w:t>0</w:t>
      </w:r>
      <w:r w:rsidRPr="00FA1DB3">
        <w:rPr>
          <w:rFonts w:cs="Arial"/>
          <w:iCs/>
          <w:sz w:val="20"/>
          <w:szCs w:val="20"/>
          <w:lang w:eastAsia="en-AU" w:bidi="ar-SA"/>
        </w:rPr>
        <w:t xml:space="preserve"> </w:t>
      </w:r>
      <w:r>
        <w:rPr>
          <w:rFonts w:cs="Arial"/>
          <w:iCs/>
          <w:sz w:val="20"/>
          <w:szCs w:val="20"/>
          <w:lang w:eastAsia="en-AU" w:bidi="ar-SA"/>
        </w:rPr>
        <w:t>cfu</w:t>
      </w:r>
      <w:r w:rsidRPr="00FA1DB3">
        <w:rPr>
          <w:rFonts w:cs="Arial"/>
          <w:iCs/>
          <w:sz w:val="20"/>
          <w:szCs w:val="20"/>
          <w:lang w:eastAsia="en-AU" w:bidi="ar-SA"/>
        </w:rPr>
        <w:t>/g</w:t>
      </w:r>
      <w:r>
        <w:rPr>
          <w:rFonts w:cs="Arial"/>
          <w:iCs/>
          <w:sz w:val="20"/>
          <w:szCs w:val="20"/>
          <w:lang w:eastAsia="en-AU" w:bidi="ar-SA"/>
        </w:rPr>
        <w:t>;</w:t>
      </w:r>
    </w:p>
    <w:p w14:paraId="0953C3E0" w14:textId="77777777" w:rsidR="00D76271" w:rsidRPr="00FA1DB3" w:rsidRDefault="00D76271" w:rsidP="00D76271">
      <w:pPr>
        <w:numPr>
          <w:ilvl w:val="0"/>
          <w:numId w:val="9"/>
        </w:numPr>
        <w:tabs>
          <w:tab w:val="left" w:pos="851"/>
          <w:tab w:val="left" w:pos="2268"/>
          <w:tab w:val="left" w:pos="2835"/>
        </w:tabs>
        <w:spacing w:before="60" w:beforeAutospacing="0" w:after="60" w:afterAutospacing="0"/>
        <w:ind w:left="2268" w:firstLine="0"/>
        <w:rPr>
          <w:rFonts w:cs="Arial"/>
          <w:iCs/>
          <w:sz w:val="20"/>
          <w:szCs w:val="22"/>
          <w:lang w:eastAsia="en-AU"/>
        </w:rPr>
      </w:pPr>
      <w:r>
        <w:rPr>
          <w:rFonts w:cs="Arial"/>
          <w:iCs/>
          <w:sz w:val="20"/>
          <w:szCs w:val="20"/>
          <w:lang w:eastAsia="en-AU" w:bidi="ar-SA"/>
        </w:rPr>
        <w:t>endotoxins</w:t>
      </w:r>
      <w:r w:rsidRPr="00FA1DB3">
        <w:rPr>
          <w:rFonts w:cs="Arial"/>
          <w:iCs/>
          <w:sz w:val="20"/>
          <w:szCs w:val="20"/>
          <w:lang w:eastAsia="en-AU" w:bidi="ar-SA"/>
        </w:rPr>
        <w:t>—</w:t>
      </w:r>
      <w:r>
        <w:rPr>
          <w:rFonts w:cs="Arial"/>
          <w:iCs/>
          <w:sz w:val="20"/>
          <w:szCs w:val="20"/>
          <w:lang w:eastAsia="en-AU" w:bidi="ar-SA"/>
        </w:rPr>
        <w:t>not more than 10 EU/mg.</w:t>
      </w:r>
    </w:p>
    <w:p w14:paraId="6D8E0BD0" w14:textId="77777777" w:rsidR="00D76271" w:rsidRPr="00FA1DB3" w:rsidRDefault="00D76271" w:rsidP="00D76271">
      <w:pPr>
        <w:tabs>
          <w:tab w:val="left" w:pos="1134"/>
        </w:tabs>
        <w:spacing w:before="120" w:beforeAutospacing="0" w:after="120" w:afterAutospacing="0"/>
        <w:ind w:left="1701"/>
        <w:rPr>
          <w:rFonts w:cs="Arial"/>
          <w:iCs/>
          <w:sz w:val="20"/>
          <w:szCs w:val="22"/>
          <w:lang w:eastAsia="en-AU" w:bidi="ar-SA"/>
        </w:rPr>
      </w:pPr>
    </w:p>
    <w:p w14:paraId="7D68278A" w14:textId="77777777" w:rsidR="00D76271" w:rsidRPr="00FA1DB3" w:rsidRDefault="00D76271" w:rsidP="00D76271">
      <w:pPr>
        <w:widowControl/>
        <w:tabs>
          <w:tab w:val="left" w:pos="851"/>
        </w:tabs>
        <w:spacing w:before="120" w:beforeAutospacing="0" w:after="120" w:afterAutospacing="0"/>
        <w:rPr>
          <w:sz w:val="20"/>
          <w:szCs w:val="20"/>
        </w:rPr>
      </w:pPr>
      <w:r w:rsidRPr="00FA1DB3">
        <w:rPr>
          <w:b/>
          <w:sz w:val="20"/>
          <w:szCs w:val="20"/>
        </w:rPr>
        <w:t>Schedule 26—Food produced using gene technology</w:t>
      </w:r>
      <w:r w:rsidRPr="00FA1DB3">
        <w:rPr>
          <w:sz w:val="20"/>
          <w:szCs w:val="20"/>
        </w:rPr>
        <w:t xml:space="preserve"> </w:t>
      </w:r>
    </w:p>
    <w:p w14:paraId="1FC1D870" w14:textId="77777777" w:rsidR="00D76271" w:rsidRPr="00FA1DB3" w:rsidRDefault="00D76271" w:rsidP="00D76271">
      <w:pPr>
        <w:widowControl/>
        <w:tabs>
          <w:tab w:val="left" w:pos="851"/>
        </w:tabs>
        <w:spacing w:before="120" w:beforeAutospacing="0" w:after="120" w:afterAutospacing="0"/>
        <w:rPr>
          <w:b/>
          <w:sz w:val="20"/>
          <w:szCs w:val="20"/>
          <w:lang w:bidi="ar-SA"/>
        </w:rPr>
      </w:pPr>
      <w:r w:rsidRPr="00FA1DB3">
        <w:rPr>
          <w:b/>
          <w:sz w:val="20"/>
          <w:szCs w:val="20"/>
        </w:rPr>
        <w:t>[6]</w:t>
      </w:r>
      <w:r w:rsidRPr="00FA1DB3">
        <w:rPr>
          <w:sz w:val="20"/>
          <w:szCs w:val="20"/>
        </w:rPr>
        <w:tab/>
      </w:r>
      <w:r w:rsidRPr="00FA1DB3">
        <w:rPr>
          <w:b/>
          <w:sz w:val="20"/>
          <w:szCs w:val="20"/>
          <w:lang w:bidi="ar-SA"/>
        </w:rPr>
        <w:t>Subsection S26—3(7) (table item 1)</w:t>
      </w:r>
    </w:p>
    <w:p w14:paraId="6A990B8A" w14:textId="77777777" w:rsidR="00D76271" w:rsidRPr="00FA1DB3" w:rsidRDefault="00D76271" w:rsidP="00D76271">
      <w:pPr>
        <w:widowControl/>
        <w:tabs>
          <w:tab w:val="left" w:pos="851"/>
        </w:tabs>
        <w:spacing w:before="120" w:beforeAutospacing="0" w:after="120" w:afterAutospacing="0"/>
        <w:rPr>
          <w:sz w:val="20"/>
          <w:szCs w:val="20"/>
          <w:lang w:bidi="ar-SA"/>
        </w:rPr>
      </w:pPr>
      <w:r w:rsidRPr="00FA1DB3">
        <w:rPr>
          <w:sz w:val="20"/>
          <w:szCs w:val="20"/>
          <w:lang w:bidi="ar-SA"/>
        </w:rPr>
        <w:tab/>
        <w:t>Repeal the item, substitute:</w:t>
      </w:r>
    </w:p>
    <w:tbl>
      <w:tblPr>
        <w:tblW w:w="9356" w:type="dxa"/>
        <w:tblLayout w:type="fixed"/>
        <w:tblCellMar>
          <w:left w:w="0" w:type="dxa"/>
          <w:right w:w="0" w:type="dxa"/>
        </w:tblCellMar>
        <w:tblLook w:val="04A0" w:firstRow="1" w:lastRow="0" w:firstColumn="1" w:lastColumn="0" w:noHBand="0" w:noVBand="1"/>
      </w:tblPr>
      <w:tblGrid>
        <w:gridCol w:w="284"/>
        <w:gridCol w:w="2126"/>
        <w:gridCol w:w="2693"/>
        <w:gridCol w:w="993"/>
        <w:gridCol w:w="3260"/>
      </w:tblGrid>
      <w:tr w:rsidR="00D76271" w:rsidRPr="00FA1DB3" w14:paraId="3011D3C3" w14:textId="77777777" w:rsidTr="000C59CD">
        <w:trPr>
          <w:cantSplit/>
          <w:trHeight w:val="329"/>
        </w:trPr>
        <w:tc>
          <w:tcPr>
            <w:tcW w:w="284" w:type="dxa"/>
            <w:tcBorders>
              <w:top w:val="nil"/>
              <w:left w:val="nil"/>
              <w:right w:val="nil"/>
            </w:tcBorders>
            <w:tcMar>
              <w:top w:w="0" w:type="dxa"/>
              <w:left w:w="108" w:type="dxa"/>
              <w:bottom w:w="0" w:type="dxa"/>
              <w:right w:w="108" w:type="dxa"/>
            </w:tcMar>
            <w:hideMark/>
          </w:tcPr>
          <w:p w14:paraId="0C5C9895" w14:textId="77777777" w:rsidR="00D76271" w:rsidRPr="00FA1DB3" w:rsidRDefault="00D76271" w:rsidP="000C59CD">
            <w:pPr>
              <w:tabs>
                <w:tab w:val="left" w:pos="851"/>
              </w:tabs>
              <w:spacing w:before="60" w:beforeAutospacing="0" w:after="60" w:afterAutospacing="0"/>
              <w:rPr>
                <w:rFonts w:cs="Arial"/>
                <w:sz w:val="18"/>
                <w:szCs w:val="18"/>
                <w:lang w:eastAsia="en-GB" w:bidi="ar-SA"/>
              </w:rPr>
            </w:pPr>
            <w:r w:rsidRPr="00FA1DB3">
              <w:rPr>
                <w:rFonts w:cs="Arial"/>
                <w:b/>
                <w:bCs/>
                <w:sz w:val="18"/>
                <w:szCs w:val="18"/>
                <w:lang w:eastAsia="en-GB" w:bidi="ar-SA"/>
              </w:rPr>
              <w:t>1</w:t>
            </w:r>
          </w:p>
        </w:tc>
        <w:tc>
          <w:tcPr>
            <w:tcW w:w="2126" w:type="dxa"/>
            <w:tcBorders>
              <w:top w:val="nil"/>
              <w:left w:val="nil"/>
              <w:right w:val="nil"/>
            </w:tcBorders>
            <w:tcMar>
              <w:top w:w="0" w:type="dxa"/>
              <w:left w:w="108" w:type="dxa"/>
              <w:bottom w:w="0" w:type="dxa"/>
              <w:right w:w="108" w:type="dxa"/>
            </w:tcMar>
            <w:hideMark/>
          </w:tcPr>
          <w:p w14:paraId="575651BC" w14:textId="77777777" w:rsidR="00D76271" w:rsidRPr="00FA1DB3" w:rsidRDefault="00D76271" w:rsidP="000C59CD">
            <w:pPr>
              <w:tabs>
                <w:tab w:val="left" w:pos="851"/>
              </w:tabs>
              <w:spacing w:before="60" w:beforeAutospacing="0" w:after="60" w:afterAutospacing="0"/>
              <w:rPr>
                <w:rFonts w:cs="Arial"/>
                <w:sz w:val="18"/>
                <w:szCs w:val="18"/>
                <w:lang w:eastAsia="en-GB" w:bidi="ar-SA"/>
              </w:rPr>
            </w:pPr>
            <w:r w:rsidRPr="00FA1DB3">
              <w:rPr>
                <w:rFonts w:cs="Arial"/>
                <w:b/>
                <w:bCs/>
                <w:sz w:val="18"/>
                <w:szCs w:val="18"/>
                <w:lang w:eastAsia="en-GB" w:bidi="ar-SA"/>
              </w:rPr>
              <w:t>2′-fucosyllactose</w:t>
            </w:r>
          </w:p>
        </w:tc>
        <w:tc>
          <w:tcPr>
            <w:tcW w:w="2693" w:type="dxa"/>
            <w:tcBorders>
              <w:top w:val="nil"/>
              <w:left w:val="nil"/>
              <w:right w:val="nil"/>
            </w:tcBorders>
            <w:hideMark/>
          </w:tcPr>
          <w:p w14:paraId="258A8FAF" w14:textId="77777777" w:rsidR="00D76271" w:rsidRPr="00FA1DB3" w:rsidRDefault="00D76271" w:rsidP="00D76271">
            <w:pPr>
              <w:widowControl/>
              <w:numPr>
                <w:ilvl w:val="0"/>
                <w:numId w:val="34"/>
              </w:numPr>
              <w:tabs>
                <w:tab w:val="left" w:pos="851"/>
              </w:tabs>
              <w:spacing w:before="60" w:beforeAutospacing="0" w:after="60" w:afterAutospacing="0"/>
              <w:ind w:left="423" w:right="36" w:hanging="286"/>
              <w:contextualSpacing/>
              <w:rPr>
                <w:rFonts w:cs="Arial"/>
                <w:sz w:val="18"/>
                <w:szCs w:val="18"/>
                <w:lang w:eastAsia="en-GB" w:bidi="ar-SA"/>
              </w:rPr>
            </w:pPr>
            <w:r w:rsidRPr="00FA1DB3">
              <w:rPr>
                <w:rFonts w:cs="Arial"/>
                <w:i/>
                <w:sz w:val="18"/>
                <w:szCs w:val="18"/>
                <w:lang w:eastAsia="en-GB" w:bidi="ar-SA"/>
              </w:rPr>
              <w:t>Escherichia coli</w:t>
            </w:r>
            <w:r w:rsidRPr="00FA1DB3">
              <w:rPr>
                <w:rFonts w:cs="Arial"/>
                <w:sz w:val="18"/>
                <w:szCs w:val="18"/>
                <w:lang w:eastAsia="en-GB" w:bidi="ar-SA"/>
              </w:rPr>
              <w:t xml:space="preserve"> K-12 containing the gene for alpha-1,2-fucosyltransferase from </w:t>
            </w:r>
            <w:r w:rsidRPr="00FA1DB3">
              <w:rPr>
                <w:rFonts w:cs="Arial"/>
                <w:i/>
                <w:sz w:val="18"/>
                <w:szCs w:val="18"/>
                <w:lang w:eastAsia="en-GB" w:bidi="ar-SA"/>
              </w:rPr>
              <w:t>Helicobacter pylori</w:t>
            </w:r>
          </w:p>
        </w:tc>
        <w:tc>
          <w:tcPr>
            <w:tcW w:w="993" w:type="dxa"/>
            <w:tcBorders>
              <w:top w:val="nil"/>
              <w:left w:val="nil"/>
              <w:right w:val="nil"/>
            </w:tcBorders>
            <w:tcMar>
              <w:top w:w="0" w:type="dxa"/>
              <w:left w:w="108" w:type="dxa"/>
              <w:bottom w:w="0" w:type="dxa"/>
              <w:right w:w="108" w:type="dxa"/>
            </w:tcMar>
            <w:hideMark/>
          </w:tcPr>
          <w:p w14:paraId="4FB7061D" w14:textId="77777777" w:rsidR="00D76271" w:rsidRPr="00FA1DB3" w:rsidRDefault="00D76271" w:rsidP="000C59CD">
            <w:pPr>
              <w:tabs>
                <w:tab w:val="left" w:pos="851"/>
              </w:tabs>
              <w:spacing w:beforeAutospacing="0" w:afterAutospacing="0"/>
              <w:rPr>
                <w:rFonts w:cs="Arial"/>
                <w:sz w:val="18"/>
                <w:szCs w:val="18"/>
                <w:lang w:eastAsia="en-GB" w:bidi="ar-SA"/>
              </w:rPr>
            </w:pPr>
          </w:p>
        </w:tc>
        <w:tc>
          <w:tcPr>
            <w:tcW w:w="3260" w:type="dxa"/>
            <w:tcBorders>
              <w:top w:val="nil"/>
              <w:left w:val="nil"/>
              <w:right w:val="nil"/>
            </w:tcBorders>
            <w:hideMark/>
          </w:tcPr>
          <w:p w14:paraId="3B7262B3" w14:textId="77777777" w:rsidR="00D76271" w:rsidRPr="00FA1DB3" w:rsidRDefault="00D76271" w:rsidP="00D76271">
            <w:pPr>
              <w:widowControl/>
              <w:numPr>
                <w:ilvl w:val="0"/>
                <w:numId w:val="35"/>
              </w:numPr>
              <w:tabs>
                <w:tab w:val="left" w:pos="851"/>
              </w:tabs>
              <w:spacing w:before="60" w:beforeAutospacing="0" w:after="60" w:afterAutospacing="0"/>
              <w:ind w:left="305" w:right="34" w:hanging="283"/>
              <w:contextualSpacing/>
              <w:rPr>
                <w:rFonts w:cs="Arial"/>
                <w:sz w:val="18"/>
                <w:szCs w:val="18"/>
                <w:lang w:eastAsia="en-GB"/>
              </w:rPr>
            </w:pPr>
            <w:r w:rsidRPr="00FA1DB3">
              <w:rPr>
                <w:rFonts w:cs="Arial"/>
                <w:sz w:val="18"/>
                <w:szCs w:val="18"/>
                <w:lang w:eastAsia="en-AU" w:bidi="ar-SA"/>
              </w:rPr>
              <w:t>May only be added to infant formula products</w:t>
            </w:r>
            <w:r w:rsidRPr="00FA1DB3">
              <w:rPr>
                <w:sz w:val="18"/>
                <w:szCs w:val="18"/>
                <w:lang w:bidi="ar-SA"/>
              </w:rPr>
              <w:t>.</w:t>
            </w:r>
          </w:p>
          <w:p w14:paraId="2E41308A" w14:textId="77777777" w:rsidR="00D76271" w:rsidRPr="00FA1DB3" w:rsidRDefault="00D76271" w:rsidP="00D76271">
            <w:pPr>
              <w:widowControl/>
              <w:numPr>
                <w:ilvl w:val="0"/>
                <w:numId w:val="35"/>
              </w:numPr>
              <w:tabs>
                <w:tab w:val="left" w:pos="851"/>
              </w:tabs>
              <w:spacing w:before="60" w:beforeAutospacing="0" w:after="60" w:afterAutospacing="0"/>
              <w:ind w:left="305" w:right="36" w:hanging="283"/>
              <w:contextualSpacing/>
              <w:rPr>
                <w:rFonts w:cs="Arial"/>
                <w:sz w:val="18"/>
                <w:szCs w:val="18"/>
                <w:lang w:eastAsia="en-GB" w:bidi="ar-SA"/>
              </w:rPr>
            </w:pPr>
            <w:r w:rsidRPr="00FA1DB3">
              <w:rPr>
                <w:rFonts w:cs="Arial"/>
                <w:sz w:val="18"/>
                <w:szCs w:val="18"/>
                <w:lang w:eastAsia="en-GB" w:bidi="ar-SA"/>
              </w:rPr>
              <w:t xml:space="preserve">During the </w:t>
            </w:r>
            <w:r w:rsidRPr="00FA1DB3">
              <w:rPr>
                <w:sz w:val="18"/>
                <w:szCs w:val="18"/>
                <w:lang w:bidi="ar-SA"/>
              </w:rPr>
              <w:t xml:space="preserve">exclusive use period, may only be sold under </w:t>
            </w:r>
            <w:r w:rsidRPr="00FA1DB3">
              <w:rPr>
                <w:rFonts w:cs="Arial"/>
                <w:sz w:val="18"/>
                <w:szCs w:val="18"/>
                <w:lang w:eastAsia="en-AU" w:bidi="ar-SA"/>
              </w:rPr>
              <w:t>the brand GlyCare.</w:t>
            </w:r>
          </w:p>
          <w:p w14:paraId="15EFEADD" w14:textId="77777777" w:rsidR="00D76271" w:rsidRPr="00FA1DB3" w:rsidRDefault="00D76271" w:rsidP="00D76271">
            <w:pPr>
              <w:widowControl/>
              <w:numPr>
                <w:ilvl w:val="0"/>
                <w:numId w:val="35"/>
              </w:numPr>
              <w:tabs>
                <w:tab w:val="left" w:pos="851"/>
              </w:tabs>
              <w:spacing w:before="60" w:beforeAutospacing="0" w:after="60" w:afterAutospacing="0"/>
              <w:ind w:left="305" w:right="36" w:hanging="283"/>
              <w:contextualSpacing/>
              <w:rPr>
                <w:rFonts w:cs="Arial"/>
                <w:sz w:val="18"/>
                <w:szCs w:val="18"/>
                <w:lang w:eastAsia="en-GB" w:bidi="ar-SA"/>
              </w:rPr>
            </w:pPr>
            <w:r w:rsidRPr="00FA1DB3">
              <w:rPr>
                <w:sz w:val="18"/>
                <w:szCs w:val="18"/>
                <w:lang w:bidi="ar-SA"/>
              </w:rPr>
              <w:t xml:space="preserve">For the purposes of condition 2 above, </w:t>
            </w:r>
            <w:r w:rsidRPr="00FA1DB3">
              <w:rPr>
                <w:b/>
                <w:sz w:val="18"/>
                <w:szCs w:val="18"/>
                <w:lang w:bidi="ar-SA"/>
              </w:rPr>
              <w:t>exclusive use period</w:t>
            </w:r>
            <w:r w:rsidRPr="00FA1DB3">
              <w:rPr>
                <w:sz w:val="18"/>
                <w:szCs w:val="18"/>
                <w:lang w:bidi="ar-SA"/>
              </w:rPr>
              <w:t xml:space="preserve"> means the period commencing on the date of gazettal of the </w:t>
            </w:r>
            <w:r w:rsidRPr="00FA1DB3">
              <w:rPr>
                <w:i/>
                <w:sz w:val="18"/>
                <w:szCs w:val="18"/>
                <w:lang w:bidi="ar-SA"/>
              </w:rPr>
              <w:t>Food Standards (Application A1155 – 2</w:t>
            </w:r>
            <w:r w:rsidRPr="00FA1DB3">
              <w:rPr>
                <w:rFonts w:cs="Arial"/>
                <w:i/>
                <w:sz w:val="18"/>
                <w:szCs w:val="18"/>
                <w:lang w:bidi="ar-SA"/>
              </w:rPr>
              <w:t>′</w:t>
            </w:r>
            <w:r w:rsidRPr="00FA1DB3">
              <w:rPr>
                <w:i/>
                <w:sz w:val="18"/>
                <w:szCs w:val="18"/>
                <w:lang w:bidi="ar-SA"/>
              </w:rPr>
              <w:t>-FL and LNnT in infant formula and other products) Variation</w:t>
            </w:r>
            <w:r w:rsidRPr="00FA1DB3">
              <w:rPr>
                <w:sz w:val="18"/>
                <w:szCs w:val="18"/>
                <w:lang w:bidi="ar-SA"/>
              </w:rPr>
              <w:t xml:space="preserve"> and ending 15 months after that date.</w:t>
            </w:r>
          </w:p>
        </w:tc>
      </w:tr>
      <w:tr w:rsidR="00D76271" w:rsidRPr="00FA1DB3" w14:paraId="6FB87A0F" w14:textId="77777777" w:rsidTr="000C59CD">
        <w:trPr>
          <w:cantSplit/>
          <w:trHeight w:val="329"/>
        </w:trPr>
        <w:tc>
          <w:tcPr>
            <w:tcW w:w="284" w:type="dxa"/>
            <w:tcBorders>
              <w:top w:val="nil"/>
              <w:left w:val="nil"/>
              <w:bottom w:val="nil"/>
              <w:right w:val="nil"/>
            </w:tcBorders>
            <w:tcMar>
              <w:top w:w="0" w:type="dxa"/>
              <w:left w:w="108" w:type="dxa"/>
              <w:bottom w:w="0" w:type="dxa"/>
              <w:right w:w="108" w:type="dxa"/>
            </w:tcMar>
          </w:tcPr>
          <w:p w14:paraId="36F5B183" w14:textId="77777777" w:rsidR="00D76271" w:rsidRPr="00FA1DB3" w:rsidRDefault="00D76271" w:rsidP="000C59CD">
            <w:pPr>
              <w:tabs>
                <w:tab w:val="left" w:pos="851"/>
              </w:tabs>
              <w:spacing w:before="60" w:beforeAutospacing="0" w:after="60" w:afterAutospacing="0"/>
              <w:rPr>
                <w:rFonts w:cs="Arial"/>
                <w:b/>
                <w:bCs/>
                <w:sz w:val="18"/>
                <w:szCs w:val="18"/>
                <w:lang w:eastAsia="en-GB" w:bidi="ar-SA"/>
              </w:rPr>
            </w:pPr>
          </w:p>
        </w:tc>
        <w:tc>
          <w:tcPr>
            <w:tcW w:w="2126" w:type="dxa"/>
            <w:tcBorders>
              <w:top w:val="nil"/>
              <w:left w:val="nil"/>
              <w:bottom w:val="nil"/>
              <w:right w:val="nil"/>
            </w:tcBorders>
            <w:tcMar>
              <w:top w:w="0" w:type="dxa"/>
              <w:left w:w="108" w:type="dxa"/>
              <w:bottom w:w="0" w:type="dxa"/>
              <w:right w:w="108" w:type="dxa"/>
            </w:tcMar>
          </w:tcPr>
          <w:p w14:paraId="0AA7C7FC" w14:textId="77777777" w:rsidR="00D76271" w:rsidRPr="00FA1DB3" w:rsidRDefault="00D76271" w:rsidP="000C59CD">
            <w:pPr>
              <w:tabs>
                <w:tab w:val="left" w:pos="851"/>
              </w:tabs>
              <w:spacing w:before="60" w:beforeAutospacing="0" w:after="60" w:afterAutospacing="0"/>
              <w:rPr>
                <w:rFonts w:cs="Arial"/>
                <w:b/>
                <w:bCs/>
                <w:sz w:val="18"/>
                <w:szCs w:val="18"/>
                <w:lang w:eastAsia="en-GB" w:bidi="ar-SA"/>
              </w:rPr>
            </w:pPr>
          </w:p>
        </w:tc>
        <w:tc>
          <w:tcPr>
            <w:tcW w:w="2693" w:type="dxa"/>
            <w:tcBorders>
              <w:top w:val="nil"/>
              <w:left w:val="nil"/>
              <w:bottom w:val="nil"/>
              <w:right w:val="nil"/>
            </w:tcBorders>
          </w:tcPr>
          <w:p w14:paraId="61AFB668" w14:textId="77777777" w:rsidR="00D76271" w:rsidRPr="00FA1DB3" w:rsidRDefault="00D76271" w:rsidP="00D76271">
            <w:pPr>
              <w:widowControl/>
              <w:numPr>
                <w:ilvl w:val="0"/>
                <w:numId w:val="34"/>
              </w:numPr>
              <w:tabs>
                <w:tab w:val="left" w:pos="851"/>
              </w:tabs>
              <w:spacing w:before="60" w:beforeAutospacing="0" w:after="60" w:afterAutospacing="0"/>
              <w:ind w:left="423" w:right="36" w:hanging="286"/>
              <w:contextualSpacing/>
              <w:rPr>
                <w:rFonts w:cs="Arial"/>
                <w:i/>
                <w:sz w:val="18"/>
                <w:szCs w:val="18"/>
                <w:lang w:eastAsia="en-GB" w:bidi="ar-SA"/>
              </w:rPr>
            </w:pPr>
            <w:r w:rsidRPr="00FA1DB3">
              <w:rPr>
                <w:i/>
                <w:sz w:val="18"/>
                <w:szCs w:val="18"/>
              </w:rPr>
              <w:t>Escherichia coli</w:t>
            </w:r>
            <w:r w:rsidRPr="00FA1DB3">
              <w:rPr>
                <w:sz w:val="18"/>
                <w:szCs w:val="18"/>
              </w:rPr>
              <w:t xml:space="preserve"> BL21 containing the gene for alpha-1,2-fucosyltransferase from </w:t>
            </w:r>
            <w:r w:rsidRPr="00FA1DB3">
              <w:rPr>
                <w:i/>
                <w:sz w:val="18"/>
                <w:szCs w:val="18"/>
              </w:rPr>
              <w:t>Escherichia coli</w:t>
            </w:r>
            <w:r w:rsidRPr="00FA1DB3">
              <w:rPr>
                <w:sz w:val="18"/>
                <w:szCs w:val="18"/>
              </w:rPr>
              <w:t xml:space="preserve"> O126</w:t>
            </w:r>
          </w:p>
        </w:tc>
        <w:tc>
          <w:tcPr>
            <w:tcW w:w="993" w:type="dxa"/>
            <w:tcBorders>
              <w:top w:val="nil"/>
              <w:left w:val="nil"/>
              <w:bottom w:val="nil"/>
              <w:right w:val="nil"/>
            </w:tcBorders>
            <w:tcMar>
              <w:top w:w="0" w:type="dxa"/>
              <w:left w:w="108" w:type="dxa"/>
              <w:bottom w:w="0" w:type="dxa"/>
              <w:right w:w="108" w:type="dxa"/>
            </w:tcMar>
          </w:tcPr>
          <w:p w14:paraId="2CF5A5E6" w14:textId="77777777" w:rsidR="00D76271" w:rsidRPr="00FA1DB3" w:rsidRDefault="00D76271" w:rsidP="000C59CD">
            <w:pPr>
              <w:tabs>
                <w:tab w:val="left" w:pos="851"/>
              </w:tabs>
              <w:spacing w:beforeAutospacing="0" w:afterAutospacing="0"/>
              <w:rPr>
                <w:rFonts w:cs="Arial"/>
                <w:sz w:val="18"/>
                <w:szCs w:val="18"/>
                <w:lang w:eastAsia="en-GB" w:bidi="ar-SA"/>
              </w:rPr>
            </w:pPr>
          </w:p>
        </w:tc>
        <w:tc>
          <w:tcPr>
            <w:tcW w:w="3260" w:type="dxa"/>
            <w:tcBorders>
              <w:top w:val="nil"/>
              <w:left w:val="nil"/>
              <w:bottom w:val="nil"/>
              <w:right w:val="nil"/>
            </w:tcBorders>
          </w:tcPr>
          <w:p w14:paraId="66EA3488" w14:textId="77777777" w:rsidR="00D76271" w:rsidRPr="00FA1DB3" w:rsidRDefault="00D76271" w:rsidP="00D76271">
            <w:pPr>
              <w:keepLines/>
              <w:widowControl/>
              <w:numPr>
                <w:ilvl w:val="0"/>
                <w:numId w:val="10"/>
              </w:numPr>
              <w:tabs>
                <w:tab w:val="left" w:pos="851"/>
                <w:tab w:val="right" w:pos="3969"/>
              </w:tabs>
              <w:spacing w:before="60" w:beforeAutospacing="0" w:after="60" w:afterAutospacing="0"/>
              <w:ind w:left="289" w:hanging="283"/>
              <w:rPr>
                <w:rFonts w:cs="Arial"/>
                <w:sz w:val="18"/>
                <w:szCs w:val="18"/>
                <w:lang w:eastAsia="en-GB"/>
              </w:rPr>
            </w:pPr>
            <w:r w:rsidRPr="00FA1DB3">
              <w:rPr>
                <w:rFonts w:cs="Arial"/>
                <w:sz w:val="18"/>
                <w:szCs w:val="18"/>
                <w:lang w:eastAsia="en-AU"/>
              </w:rPr>
              <w:t>May only be added to infant formula products.</w:t>
            </w:r>
          </w:p>
          <w:p w14:paraId="41EE264A" w14:textId="77777777" w:rsidR="00D76271" w:rsidRPr="00FA1DB3" w:rsidRDefault="00D76271" w:rsidP="00D76271">
            <w:pPr>
              <w:widowControl/>
              <w:numPr>
                <w:ilvl w:val="0"/>
                <w:numId w:val="10"/>
              </w:numPr>
              <w:tabs>
                <w:tab w:val="left" w:pos="851"/>
              </w:tabs>
              <w:spacing w:before="60" w:beforeAutospacing="0" w:after="60" w:afterAutospacing="0"/>
              <w:ind w:left="286" w:right="36" w:hanging="283"/>
              <w:contextualSpacing/>
              <w:rPr>
                <w:rFonts w:cs="Arial"/>
                <w:sz w:val="18"/>
                <w:szCs w:val="18"/>
                <w:lang w:eastAsia="en-GB" w:bidi="ar-SA"/>
              </w:rPr>
            </w:pPr>
            <w:r w:rsidRPr="00FA1DB3">
              <w:rPr>
                <w:rFonts w:cs="Arial"/>
                <w:sz w:val="18"/>
                <w:szCs w:val="18"/>
                <w:lang w:eastAsia="en-GB" w:bidi="ar-SA"/>
              </w:rPr>
              <w:t>During the exclusive use period, may only be sold under the brand CHR. HANSEN™ 2′-FL.</w:t>
            </w:r>
          </w:p>
          <w:p w14:paraId="683FB966" w14:textId="77777777" w:rsidR="00D76271" w:rsidRPr="00FA1DB3" w:rsidRDefault="00D76271" w:rsidP="00D76271">
            <w:pPr>
              <w:widowControl/>
              <w:numPr>
                <w:ilvl w:val="0"/>
                <w:numId w:val="10"/>
              </w:numPr>
              <w:tabs>
                <w:tab w:val="left" w:pos="851"/>
              </w:tabs>
              <w:spacing w:before="60" w:beforeAutospacing="0" w:after="60" w:afterAutospacing="0"/>
              <w:ind w:left="289" w:right="34" w:hanging="283"/>
              <w:contextualSpacing/>
              <w:rPr>
                <w:rFonts w:cs="Arial"/>
                <w:sz w:val="18"/>
                <w:szCs w:val="18"/>
                <w:lang w:eastAsia="en-AU" w:bidi="ar-SA"/>
              </w:rPr>
            </w:pPr>
            <w:r w:rsidRPr="00FA1DB3">
              <w:rPr>
                <w:sz w:val="18"/>
                <w:szCs w:val="18"/>
                <w:lang w:eastAsia="en-GB"/>
              </w:rPr>
              <w:t xml:space="preserve">For the purposes of condition 2 above, </w:t>
            </w:r>
            <w:r w:rsidRPr="00FA1DB3">
              <w:rPr>
                <w:b/>
                <w:sz w:val="18"/>
                <w:szCs w:val="18"/>
                <w:lang w:eastAsia="en-GB"/>
              </w:rPr>
              <w:t>exclusive use period</w:t>
            </w:r>
            <w:r w:rsidRPr="00FA1DB3">
              <w:rPr>
                <w:sz w:val="18"/>
                <w:szCs w:val="18"/>
                <w:lang w:eastAsia="en-GB"/>
              </w:rPr>
              <w:t xml:space="preserve"> means the period commencing on the date of gazettal of the </w:t>
            </w:r>
            <w:r w:rsidRPr="00FA1DB3">
              <w:rPr>
                <w:i/>
                <w:sz w:val="18"/>
                <w:szCs w:val="18"/>
                <w:lang w:eastAsia="en-GB"/>
              </w:rPr>
              <w:t>Food Standards (Application A1190 – 2</w:t>
            </w:r>
            <w:r w:rsidRPr="00FA1DB3">
              <w:rPr>
                <w:sz w:val="18"/>
                <w:szCs w:val="20"/>
              </w:rPr>
              <w:t>′</w:t>
            </w:r>
            <w:r w:rsidRPr="00FA1DB3">
              <w:rPr>
                <w:i/>
                <w:sz w:val="18"/>
                <w:szCs w:val="18"/>
                <w:lang w:eastAsia="en-GB"/>
              </w:rPr>
              <w:t>-FL in infant formula and other products) Variation</w:t>
            </w:r>
            <w:r w:rsidRPr="00FA1DB3">
              <w:rPr>
                <w:sz w:val="18"/>
                <w:szCs w:val="18"/>
                <w:lang w:eastAsia="en-GB"/>
              </w:rPr>
              <w:t xml:space="preserve"> and ending 15 months after that date.</w:t>
            </w:r>
          </w:p>
        </w:tc>
      </w:tr>
      <w:tr w:rsidR="00D76271" w:rsidRPr="00FA1DB3" w14:paraId="11D60D29" w14:textId="77777777" w:rsidTr="000C59CD">
        <w:trPr>
          <w:cantSplit/>
          <w:trHeight w:val="329"/>
        </w:trPr>
        <w:tc>
          <w:tcPr>
            <w:tcW w:w="284" w:type="dxa"/>
            <w:tcBorders>
              <w:top w:val="nil"/>
              <w:left w:val="nil"/>
              <w:right w:val="nil"/>
            </w:tcBorders>
            <w:tcMar>
              <w:top w:w="0" w:type="dxa"/>
              <w:left w:w="108" w:type="dxa"/>
              <w:bottom w:w="0" w:type="dxa"/>
              <w:right w:w="108" w:type="dxa"/>
            </w:tcMar>
          </w:tcPr>
          <w:p w14:paraId="132F82E5" w14:textId="77777777" w:rsidR="00D76271" w:rsidRPr="00FA1DB3" w:rsidRDefault="00D76271" w:rsidP="000C59CD">
            <w:pPr>
              <w:tabs>
                <w:tab w:val="left" w:pos="851"/>
              </w:tabs>
              <w:spacing w:before="60" w:beforeAutospacing="0" w:after="60" w:afterAutospacing="0"/>
              <w:rPr>
                <w:rFonts w:cs="Arial"/>
                <w:b/>
                <w:bCs/>
                <w:sz w:val="18"/>
                <w:szCs w:val="18"/>
                <w:lang w:eastAsia="en-GB" w:bidi="ar-SA"/>
              </w:rPr>
            </w:pPr>
          </w:p>
        </w:tc>
        <w:tc>
          <w:tcPr>
            <w:tcW w:w="2126" w:type="dxa"/>
            <w:tcBorders>
              <w:top w:val="nil"/>
              <w:left w:val="nil"/>
              <w:right w:val="nil"/>
            </w:tcBorders>
            <w:tcMar>
              <w:top w:w="0" w:type="dxa"/>
              <w:left w:w="108" w:type="dxa"/>
              <w:bottom w:w="0" w:type="dxa"/>
              <w:right w:w="108" w:type="dxa"/>
            </w:tcMar>
          </w:tcPr>
          <w:p w14:paraId="20BD3EF8" w14:textId="77777777" w:rsidR="00D76271" w:rsidRPr="00FA1DB3" w:rsidRDefault="00D76271" w:rsidP="000C59CD">
            <w:pPr>
              <w:tabs>
                <w:tab w:val="left" w:pos="851"/>
              </w:tabs>
              <w:spacing w:before="60" w:beforeAutospacing="0" w:after="60" w:afterAutospacing="0"/>
              <w:rPr>
                <w:rFonts w:cs="Arial"/>
                <w:b/>
                <w:bCs/>
                <w:sz w:val="18"/>
                <w:szCs w:val="18"/>
                <w:lang w:eastAsia="en-GB" w:bidi="ar-SA"/>
              </w:rPr>
            </w:pPr>
          </w:p>
        </w:tc>
        <w:tc>
          <w:tcPr>
            <w:tcW w:w="2693" w:type="dxa"/>
            <w:tcBorders>
              <w:top w:val="nil"/>
              <w:left w:val="nil"/>
              <w:right w:val="nil"/>
            </w:tcBorders>
          </w:tcPr>
          <w:p w14:paraId="17257747" w14:textId="77777777" w:rsidR="00D76271" w:rsidRPr="00FA1DB3" w:rsidRDefault="00D76271" w:rsidP="00D76271">
            <w:pPr>
              <w:widowControl/>
              <w:numPr>
                <w:ilvl w:val="0"/>
                <w:numId w:val="34"/>
              </w:numPr>
              <w:tabs>
                <w:tab w:val="left" w:pos="851"/>
              </w:tabs>
              <w:spacing w:before="60" w:beforeAutospacing="0" w:after="60" w:afterAutospacing="0"/>
              <w:ind w:left="423" w:right="36" w:hanging="286"/>
              <w:contextualSpacing/>
              <w:rPr>
                <w:i/>
                <w:sz w:val="18"/>
                <w:szCs w:val="18"/>
              </w:rPr>
            </w:pPr>
            <w:r w:rsidRPr="00FA1DB3">
              <w:rPr>
                <w:i/>
                <w:sz w:val="18"/>
                <w:szCs w:val="18"/>
              </w:rPr>
              <w:t>Escherichia coli</w:t>
            </w:r>
            <w:r w:rsidRPr="00FA1DB3">
              <w:rPr>
                <w:sz w:val="18"/>
                <w:szCs w:val="18"/>
              </w:rPr>
              <w:t xml:space="preserve"> K-12 containing the gene alpha-1,2-fucosyltransferase from </w:t>
            </w:r>
            <w:r w:rsidRPr="00FA1DB3">
              <w:rPr>
                <w:i/>
                <w:sz w:val="18"/>
                <w:szCs w:val="18"/>
              </w:rPr>
              <w:t>Bacteroides vulgatus</w:t>
            </w:r>
          </w:p>
        </w:tc>
        <w:tc>
          <w:tcPr>
            <w:tcW w:w="993" w:type="dxa"/>
            <w:tcBorders>
              <w:top w:val="nil"/>
              <w:left w:val="nil"/>
              <w:right w:val="nil"/>
            </w:tcBorders>
            <w:tcMar>
              <w:top w:w="0" w:type="dxa"/>
              <w:left w:w="108" w:type="dxa"/>
              <w:bottom w:w="0" w:type="dxa"/>
              <w:right w:w="108" w:type="dxa"/>
            </w:tcMar>
          </w:tcPr>
          <w:p w14:paraId="135DA7B4" w14:textId="77777777" w:rsidR="00D76271" w:rsidRPr="00FA1DB3" w:rsidRDefault="00D76271" w:rsidP="000C59CD">
            <w:pPr>
              <w:tabs>
                <w:tab w:val="left" w:pos="851"/>
              </w:tabs>
              <w:spacing w:beforeAutospacing="0" w:afterAutospacing="0"/>
              <w:rPr>
                <w:rFonts w:cs="Arial"/>
                <w:sz w:val="18"/>
                <w:szCs w:val="18"/>
                <w:lang w:eastAsia="en-GB" w:bidi="ar-SA"/>
              </w:rPr>
            </w:pPr>
          </w:p>
        </w:tc>
        <w:tc>
          <w:tcPr>
            <w:tcW w:w="3260" w:type="dxa"/>
            <w:tcBorders>
              <w:top w:val="nil"/>
              <w:left w:val="nil"/>
              <w:right w:val="nil"/>
            </w:tcBorders>
          </w:tcPr>
          <w:p w14:paraId="0AF74DC1" w14:textId="77777777" w:rsidR="00D76271" w:rsidRPr="00FA1DB3" w:rsidRDefault="00D76271" w:rsidP="00D76271">
            <w:pPr>
              <w:keepLines/>
              <w:widowControl/>
              <w:numPr>
                <w:ilvl w:val="0"/>
                <w:numId w:val="21"/>
              </w:numPr>
              <w:tabs>
                <w:tab w:val="left" w:pos="851"/>
                <w:tab w:val="right" w:pos="3969"/>
              </w:tabs>
              <w:spacing w:before="60" w:beforeAutospacing="0" w:after="60" w:afterAutospacing="0"/>
              <w:rPr>
                <w:rFonts w:cs="Arial"/>
                <w:sz w:val="18"/>
                <w:szCs w:val="18"/>
                <w:lang w:eastAsia="en-GB"/>
              </w:rPr>
            </w:pPr>
            <w:r w:rsidRPr="00FA1DB3">
              <w:rPr>
                <w:rFonts w:cs="Arial"/>
                <w:sz w:val="18"/>
                <w:szCs w:val="18"/>
                <w:lang w:eastAsia="en-AU"/>
              </w:rPr>
              <w:t>May only be added to infant formula products.</w:t>
            </w:r>
          </w:p>
          <w:p w14:paraId="4C6EA2C7" w14:textId="77777777" w:rsidR="00D76271" w:rsidRPr="00FA1DB3" w:rsidRDefault="00D76271" w:rsidP="00D76271">
            <w:pPr>
              <w:keepLines/>
              <w:widowControl/>
              <w:numPr>
                <w:ilvl w:val="0"/>
                <w:numId w:val="21"/>
              </w:numPr>
              <w:tabs>
                <w:tab w:val="left" w:pos="851"/>
                <w:tab w:val="right" w:pos="3969"/>
              </w:tabs>
              <w:spacing w:before="60" w:beforeAutospacing="0" w:after="60" w:afterAutospacing="0"/>
              <w:rPr>
                <w:rFonts w:cs="Arial"/>
                <w:sz w:val="18"/>
                <w:szCs w:val="18"/>
                <w:lang w:eastAsia="en-GB"/>
              </w:rPr>
            </w:pPr>
            <w:r w:rsidRPr="00FA1DB3">
              <w:rPr>
                <w:rFonts w:cs="Arial"/>
                <w:sz w:val="18"/>
                <w:szCs w:val="18"/>
                <w:lang w:eastAsia="en-GB"/>
              </w:rPr>
              <w:t>During the exclusive use period, may only be sold under the brand Aequival® 2’FL.</w:t>
            </w:r>
          </w:p>
          <w:p w14:paraId="4B6798F0" w14:textId="77777777" w:rsidR="00D76271" w:rsidRPr="00FA1DB3" w:rsidRDefault="00D76271" w:rsidP="00D76271">
            <w:pPr>
              <w:keepLines/>
              <w:widowControl/>
              <w:numPr>
                <w:ilvl w:val="0"/>
                <w:numId w:val="21"/>
              </w:numPr>
              <w:tabs>
                <w:tab w:val="left" w:pos="851"/>
                <w:tab w:val="right" w:pos="3969"/>
              </w:tabs>
              <w:spacing w:before="60" w:beforeAutospacing="0" w:after="60" w:afterAutospacing="0"/>
              <w:rPr>
                <w:rFonts w:cs="Arial"/>
                <w:sz w:val="18"/>
                <w:szCs w:val="18"/>
                <w:lang w:eastAsia="en-GB"/>
              </w:rPr>
            </w:pPr>
            <w:r w:rsidRPr="00FA1DB3">
              <w:rPr>
                <w:rFonts w:cs="Arial"/>
                <w:sz w:val="18"/>
                <w:szCs w:val="18"/>
                <w:lang w:eastAsia="en-GB"/>
              </w:rPr>
              <w:t xml:space="preserve">For the purposes of condition 2 above, </w:t>
            </w:r>
            <w:r w:rsidRPr="00355343">
              <w:rPr>
                <w:rFonts w:cs="Arial"/>
                <w:b/>
                <w:sz w:val="18"/>
                <w:szCs w:val="18"/>
                <w:lang w:eastAsia="en-GB"/>
              </w:rPr>
              <w:t>exclusive use period</w:t>
            </w:r>
            <w:r w:rsidRPr="00FA1DB3">
              <w:rPr>
                <w:rFonts w:cs="Arial"/>
                <w:sz w:val="18"/>
                <w:szCs w:val="18"/>
                <w:lang w:eastAsia="en-GB"/>
              </w:rPr>
              <w:t xml:space="preserve"> means the period commencing on the date of gazettal of the </w:t>
            </w:r>
            <w:r w:rsidRPr="00FA1DB3">
              <w:rPr>
                <w:rFonts w:cs="Arial"/>
                <w:i/>
                <w:sz w:val="18"/>
                <w:szCs w:val="18"/>
                <w:lang w:eastAsia="en-GB"/>
              </w:rPr>
              <w:t xml:space="preserve">Food Standards (Application A1233 – 2’-FL from new GM source for infant formula) Variation </w:t>
            </w:r>
            <w:r w:rsidRPr="00FA1DB3">
              <w:rPr>
                <w:rFonts w:cs="Arial"/>
                <w:sz w:val="18"/>
                <w:szCs w:val="18"/>
                <w:lang w:eastAsia="en-GB"/>
              </w:rPr>
              <w:t xml:space="preserve">and ending 15 months after that date. </w:t>
            </w:r>
          </w:p>
          <w:p w14:paraId="60631790" w14:textId="77777777" w:rsidR="00D76271" w:rsidRPr="00FA1DB3" w:rsidRDefault="00D76271" w:rsidP="000C59CD">
            <w:pPr>
              <w:keepLines/>
              <w:widowControl/>
              <w:tabs>
                <w:tab w:val="right" w:pos="3969"/>
              </w:tabs>
              <w:spacing w:before="60" w:beforeAutospacing="0" w:after="60" w:afterAutospacing="0"/>
              <w:rPr>
                <w:rFonts w:cs="Arial"/>
                <w:sz w:val="18"/>
                <w:szCs w:val="18"/>
                <w:lang w:eastAsia="en-AU"/>
              </w:rPr>
            </w:pPr>
          </w:p>
          <w:p w14:paraId="548BCA20" w14:textId="77777777" w:rsidR="00D76271" w:rsidRPr="00FA1DB3" w:rsidRDefault="00D76271" w:rsidP="000C59CD">
            <w:pPr>
              <w:keepLines/>
              <w:widowControl/>
              <w:tabs>
                <w:tab w:val="right" w:pos="3969"/>
              </w:tabs>
              <w:spacing w:before="60" w:beforeAutospacing="0" w:after="60" w:afterAutospacing="0"/>
              <w:rPr>
                <w:rFonts w:cs="Arial"/>
                <w:sz w:val="18"/>
                <w:szCs w:val="18"/>
                <w:lang w:eastAsia="en-AU"/>
              </w:rPr>
            </w:pPr>
          </w:p>
        </w:tc>
      </w:tr>
    </w:tbl>
    <w:p w14:paraId="5BC3A812" w14:textId="77777777" w:rsidR="00D76271" w:rsidRDefault="00D76271" w:rsidP="00D76271">
      <w:pPr>
        <w:keepNext/>
        <w:widowControl/>
        <w:spacing w:before="240" w:beforeAutospacing="0" w:after="240" w:afterAutospacing="0"/>
        <w:ind w:left="851" w:hanging="851"/>
        <w:outlineLvl w:val="1"/>
        <w:rPr>
          <w:rFonts w:cs="Arial"/>
          <w:b/>
          <w:bCs/>
          <w:sz w:val="28"/>
          <w:szCs w:val="22"/>
          <w:lang w:bidi="ar-SA"/>
        </w:rPr>
      </w:pPr>
    </w:p>
    <w:bookmarkEnd w:id="140"/>
    <w:bookmarkEnd w:id="141"/>
    <w:bookmarkEnd w:id="143"/>
    <w:p w14:paraId="346ADACD" w14:textId="269FD640" w:rsidR="0012388D" w:rsidRPr="00187F02" w:rsidRDefault="0012388D" w:rsidP="00510B7A">
      <w:pPr>
        <w:widowControl/>
        <w:spacing w:before="120" w:after="120"/>
        <w:rPr>
          <w:lang w:val="en-AU" w:eastAsia="en-GB" w:bidi="ar-SA"/>
        </w:rPr>
      </w:pPr>
    </w:p>
    <w:sectPr w:rsidR="0012388D" w:rsidRPr="00187F02" w:rsidSect="000B74E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1EC41" w14:textId="77777777" w:rsidR="001C16A2" w:rsidRDefault="001C16A2">
      <w:r>
        <w:separator/>
      </w:r>
    </w:p>
    <w:p w14:paraId="57A16044" w14:textId="77777777" w:rsidR="001C16A2" w:rsidRDefault="001C16A2"/>
  </w:endnote>
  <w:endnote w:type="continuationSeparator" w:id="0">
    <w:p w14:paraId="6EB631FF" w14:textId="77777777" w:rsidR="001C16A2" w:rsidRDefault="001C16A2">
      <w:r>
        <w:continuationSeparator/>
      </w:r>
    </w:p>
    <w:p w14:paraId="5EA8E352" w14:textId="77777777" w:rsidR="001C16A2" w:rsidRDefault="001C16A2"/>
  </w:endnote>
  <w:endnote w:type="continuationNotice" w:id="1">
    <w:p w14:paraId="0D6AA702" w14:textId="77777777" w:rsidR="001C16A2" w:rsidRDefault="001C16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 w:name="ArialMT">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FEAB2" w14:textId="7B913B49" w:rsidR="000C59CD" w:rsidRDefault="000C59CD" w:rsidP="00873003">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057B5508" w14:textId="77777777" w:rsidR="000C59CD" w:rsidRDefault="000C59CD" w:rsidP="00452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497913"/>
      <w:docPartObj>
        <w:docPartGallery w:val="Page Numbers (Bottom of Page)"/>
        <w:docPartUnique/>
      </w:docPartObj>
    </w:sdtPr>
    <w:sdtEndPr>
      <w:rPr>
        <w:noProof/>
      </w:rPr>
    </w:sdtEndPr>
    <w:sdtContent>
      <w:p w14:paraId="45E2CC46" w14:textId="45221F3E" w:rsidR="000C59CD" w:rsidRDefault="000C59CD" w:rsidP="00A671E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45236D">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45236D">
          <w:rPr>
            <w:b/>
            <w:bCs/>
            <w:noProof/>
          </w:rPr>
          <w:t>33</w:t>
        </w:r>
        <w:r>
          <w:rPr>
            <w:b/>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E40B2" w14:textId="77777777" w:rsidR="001C16A2" w:rsidRDefault="001C16A2">
      <w:r>
        <w:separator/>
      </w:r>
    </w:p>
  </w:footnote>
  <w:footnote w:type="continuationSeparator" w:id="0">
    <w:p w14:paraId="3C8364A2" w14:textId="77777777" w:rsidR="001C16A2" w:rsidRDefault="001C16A2">
      <w:r>
        <w:continuationSeparator/>
      </w:r>
    </w:p>
  </w:footnote>
  <w:footnote w:type="continuationNotice" w:id="1">
    <w:p w14:paraId="198FA56B" w14:textId="77777777" w:rsidR="001C16A2" w:rsidRDefault="001C16A2"/>
  </w:footnote>
  <w:footnote w:id="2">
    <w:p w14:paraId="03CE2491" w14:textId="77777777" w:rsidR="000C59CD" w:rsidRPr="001B2FF4" w:rsidRDefault="000C59CD" w:rsidP="00E72505">
      <w:pPr>
        <w:pStyle w:val="FootnoteText"/>
        <w:rPr>
          <w:lang w:val="en-AU"/>
        </w:rPr>
      </w:pPr>
      <w:r>
        <w:rPr>
          <w:rStyle w:val="FootnoteReference"/>
        </w:rPr>
        <w:footnoteRef/>
      </w:r>
      <w:r>
        <w:t xml:space="preserve"> </w:t>
      </w:r>
      <w:r>
        <w:rPr>
          <w:lang w:val="en-AU"/>
        </w:rPr>
        <w:t xml:space="preserve">Also known as </w:t>
      </w:r>
      <w:r w:rsidRPr="001B2FF4">
        <w:rPr>
          <w:lang w:val="en-AU"/>
        </w:rPr>
        <w:t>2’-O-fucosyllactos</w:t>
      </w:r>
      <w:r>
        <w:rPr>
          <w:lang w:val="en-AU"/>
        </w:rPr>
        <w:t>e</w:t>
      </w:r>
    </w:p>
  </w:footnote>
  <w:footnote w:id="3">
    <w:p w14:paraId="01C061E5" w14:textId="77777777" w:rsidR="000C59CD" w:rsidRPr="00CB083D" w:rsidRDefault="000C59CD" w:rsidP="00CD1F89">
      <w:pPr>
        <w:pStyle w:val="FootnoteText"/>
        <w:rPr>
          <w:lang w:val="en-AU"/>
        </w:rPr>
      </w:pPr>
      <w:r w:rsidRPr="00CB083D">
        <w:rPr>
          <w:rStyle w:val="FootnoteReference"/>
        </w:rPr>
        <w:footnoteRef/>
      </w:r>
      <w:r w:rsidRPr="00CB083D">
        <w:t xml:space="preserve"> Including </w:t>
      </w:r>
      <w:r w:rsidRPr="00CB083D">
        <w:rPr>
          <w:lang w:val="en-AU"/>
        </w:rPr>
        <w:t>infant formula, follow-on formula and infant formula products for special dietary use.</w:t>
      </w:r>
    </w:p>
  </w:footnote>
  <w:footnote w:id="4">
    <w:p w14:paraId="283A7DD2" w14:textId="77777777" w:rsidR="000C59CD" w:rsidRPr="00CA1C29" w:rsidRDefault="000C59CD" w:rsidP="00DD4C88">
      <w:pPr>
        <w:pStyle w:val="FootnoteText"/>
        <w:rPr>
          <w:lang w:val="en-AU"/>
        </w:rPr>
      </w:pPr>
      <w:r>
        <w:rPr>
          <w:rStyle w:val="FootnoteReference"/>
        </w:rPr>
        <w:footnoteRef/>
      </w:r>
      <w:r>
        <w:t xml:space="preserve"> </w:t>
      </w:r>
      <w:hyperlink r:id="rId1" w:anchor="ntr5-L_2019070EN.01002101-E0005" w:history="1">
        <w:r w:rsidRPr="00A44611">
          <w:rPr>
            <w:rStyle w:val="Hyperlink"/>
          </w:rPr>
          <w:t>https://eur-lex.europa.eu/legal-content/EN/TXT/HTML/?uri=CELEX:32019R0388&amp;from=EN#ntr5-L_2019070EN.01002101-E0005</w:t>
        </w:r>
      </w:hyperlink>
    </w:p>
  </w:footnote>
  <w:footnote w:id="5">
    <w:p w14:paraId="1D3217AF" w14:textId="77777777" w:rsidR="000C59CD" w:rsidRPr="00CF3317" w:rsidRDefault="000C59CD" w:rsidP="00DD4C88">
      <w:pPr>
        <w:pStyle w:val="FootnoteText"/>
        <w:contextualSpacing/>
        <w:rPr>
          <w:szCs w:val="16"/>
          <w:lang w:val="en-AU"/>
        </w:rPr>
      </w:pPr>
      <w:r w:rsidRPr="00CF3317">
        <w:rPr>
          <w:rStyle w:val="FootnoteReference"/>
          <w:szCs w:val="16"/>
        </w:rPr>
        <w:footnoteRef/>
      </w:r>
      <w:r w:rsidRPr="00CF3317">
        <w:rPr>
          <w:szCs w:val="16"/>
        </w:rPr>
        <w:t xml:space="preserve"> ‘</w:t>
      </w:r>
      <w:r w:rsidRPr="00CF3317">
        <w:rPr>
          <w:szCs w:val="16"/>
          <w:lang w:val="en-AU"/>
        </w:rPr>
        <w:t xml:space="preserve">Follow-up Formula’ is currently defined by Codex as </w:t>
      </w:r>
      <w:r w:rsidRPr="00CF3317">
        <w:rPr>
          <w:i/>
          <w:szCs w:val="16"/>
          <w:lang w:val="en-AU"/>
        </w:rPr>
        <w:t>a food intended for use as a liquid part of the weaning diet for the infant from the 6</w:t>
      </w:r>
      <w:r w:rsidRPr="00CF3317">
        <w:rPr>
          <w:i/>
          <w:szCs w:val="16"/>
          <w:vertAlign w:val="superscript"/>
          <w:lang w:val="en-AU"/>
        </w:rPr>
        <w:t>th</w:t>
      </w:r>
      <w:r w:rsidRPr="00CF3317">
        <w:rPr>
          <w:i/>
          <w:szCs w:val="16"/>
          <w:lang w:val="en-AU"/>
        </w:rPr>
        <w:t xml:space="preserve"> month on and for young children </w:t>
      </w:r>
      <w:r w:rsidRPr="00CF3317">
        <w:rPr>
          <w:szCs w:val="16"/>
          <w:lang w:val="en-AU"/>
        </w:rPr>
        <w:t xml:space="preserve">(12-36 months). </w:t>
      </w:r>
    </w:p>
  </w:footnote>
  <w:footnote w:id="6">
    <w:p w14:paraId="546A15F3" w14:textId="77777777" w:rsidR="000C59CD" w:rsidRPr="00DA69BD" w:rsidRDefault="000C59CD" w:rsidP="00DD4C88">
      <w:pPr>
        <w:pStyle w:val="FootnoteText"/>
        <w:contextualSpacing/>
        <w:rPr>
          <w:lang w:val="en-AU"/>
        </w:rPr>
      </w:pPr>
      <w:r>
        <w:rPr>
          <w:rStyle w:val="FootnoteReference"/>
        </w:rPr>
        <w:footnoteRef/>
      </w:r>
      <w:r>
        <w:t xml:space="preserve"> </w:t>
      </w:r>
      <w:r w:rsidRPr="00CF3317">
        <w:t xml:space="preserve">Commission Implementing Regulation (EU) 2017/2470 </w:t>
      </w:r>
      <w:hyperlink r:id="rId2" w:history="1">
        <w:r w:rsidRPr="00CF3317">
          <w:rPr>
            <w:rStyle w:val="Hyperlink"/>
          </w:rPr>
          <w:t>EUR-Lex - 32017R2470 - EN - EUR-Lex (europa.eu)</w:t>
        </w:r>
      </w:hyperlink>
    </w:p>
  </w:footnote>
  <w:footnote w:id="7">
    <w:p w14:paraId="04D8DC0E" w14:textId="77777777" w:rsidR="000C59CD" w:rsidRPr="00CF3317" w:rsidRDefault="000C59CD" w:rsidP="00DD4C88">
      <w:pPr>
        <w:pStyle w:val="FootnoteText"/>
        <w:contextualSpacing/>
      </w:pPr>
      <w:r>
        <w:rPr>
          <w:rStyle w:val="FootnoteReference"/>
        </w:rPr>
        <w:footnoteRef/>
      </w:r>
      <w:r>
        <w:t xml:space="preserve"> </w:t>
      </w:r>
      <w:r w:rsidRPr="00CF3317">
        <w:t xml:space="preserve">GRAS Notice (GRN) No. 735 </w:t>
      </w:r>
      <w:hyperlink r:id="rId3" w:history="1">
        <w:r w:rsidRPr="00CF3317">
          <w:rPr>
            <w:rStyle w:val="Hyperlink"/>
          </w:rPr>
          <w:t>https://www.fda.gov/media/115365/download</w:t>
        </w:r>
      </w:hyperlink>
    </w:p>
  </w:footnote>
  <w:footnote w:id="8">
    <w:p w14:paraId="6E3A4EC3" w14:textId="77777777" w:rsidR="000C59CD" w:rsidRPr="00032F13" w:rsidRDefault="000C59CD" w:rsidP="00170BD0">
      <w:pPr>
        <w:pStyle w:val="FootnoteText"/>
        <w:rPr>
          <w:lang w:val="en-AU"/>
        </w:rPr>
      </w:pPr>
      <w:r>
        <w:rPr>
          <w:rStyle w:val="FootnoteReference"/>
        </w:rPr>
        <w:footnoteRef/>
      </w:r>
      <w:r>
        <w:t xml:space="preserve"> </w:t>
      </w:r>
      <w:r>
        <w:rPr>
          <w:lang w:val="en-AU"/>
        </w:rPr>
        <w:t>Formerly known as the Australia and New Zealand Ministerial Forum on Food Regulation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8B083" w14:textId="75724CF2" w:rsidR="000C59CD" w:rsidRDefault="000C59CD">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588B"/>
    <w:multiLevelType w:val="hybridMultilevel"/>
    <w:tmpl w:val="07209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E3523"/>
    <w:multiLevelType w:val="hybridMultilevel"/>
    <w:tmpl w:val="ABBA8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D5893"/>
    <w:multiLevelType w:val="hybridMultilevel"/>
    <w:tmpl w:val="8CC2989A"/>
    <w:lvl w:ilvl="0" w:tplc="C95C5FD2">
      <w:start w:val="1"/>
      <w:numFmt w:val="bullet"/>
      <w:lvlText w:val="-"/>
      <w:lvlJc w:val="left"/>
      <w:pPr>
        <w:ind w:left="780" w:hanging="360"/>
      </w:pPr>
      <w:rPr>
        <w:rFonts w:ascii="Courier New" w:hAnsi="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CA67DB7"/>
    <w:multiLevelType w:val="hybridMultilevel"/>
    <w:tmpl w:val="752A4FA0"/>
    <w:lvl w:ilvl="0" w:tplc="D27090C2">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D86F06"/>
    <w:multiLevelType w:val="hybridMultilevel"/>
    <w:tmpl w:val="AD5C28CE"/>
    <w:lvl w:ilvl="0" w:tplc="B7D283EE">
      <w:start w:val="1"/>
      <w:numFmt w:val="lowerLetter"/>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10F0057A"/>
    <w:multiLevelType w:val="hybridMultilevel"/>
    <w:tmpl w:val="7910BA7C"/>
    <w:lvl w:ilvl="0" w:tplc="847C0898">
      <w:start w:val="3"/>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2D244D"/>
    <w:multiLevelType w:val="hybridMultilevel"/>
    <w:tmpl w:val="885A6906"/>
    <w:lvl w:ilvl="0" w:tplc="E6EA46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20EC334A"/>
    <w:multiLevelType w:val="hybridMultilevel"/>
    <w:tmpl w:val="ACCA741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22815771"/>
    <w:multiLevelType w:val="hybridMultilevel"/>
    <w:tmpl w:val="1AAEFB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841CC2"/>
    <w:multiLevelType w:val="hybridMultilevel"/>
    <w:tmpl w:val="F1807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911A25"/>
    <w:multiLevelType w:val="hybridMultilevel"/>
    <w:tmpl w:val="388494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315BAB"/>
    <w:multiLevelType w:val="hybridMultilevel"/>
    <w:tmpl w:val="277AE6CC"/>
    <w:lvl w:ilvl="0" w:tplc="DB2230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FA0076"/>
    <w:multiLevelType w:val="hybridMultilevel"/>
    <w:tmpl w:val="324A9908"/>
    <w:lvl w:ilvl="0" w:tplc="2B48B728">
      <w:start w:val="1"/>
      <w:numFmt w:val="bullet"/>
      <w:pStyle w:val="AARBullet"/>
      <w:lvlText w:val=""/>
      <w:lvlJc w:val="left"/>
      <w:pPr>
        <w:ind w:left="360" w:hanging="360"/>
      </w:pPr>
      <w:rPr>
        <w:rFonts w:ascii="Symbol" w:hAnsi="Symbol" w:hint="default"/>
        <w:color w:val="auto"/>
        <w:sz w:val="24"/>
      </w:rPr>
    </w:lvl>
    <w:lvl w:ilvl="1" w:tplc="42E4712C">
      <w:start w:val="1"/>
      <w:numFmt w:val="bullet"/>
      <w:lvlText w:val=""/>
      <w:lvlJc w:val="left"/>
      <w:pPr>
        <w:tabs>
          <w:tab w:val="num" w:pos="1647"/>
        </w:tabs>
        <w:ind w:left="1647" w:hanging="567"/>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142AFC"/>
    <w:multiLevelType w:val="hybridMultilevel"/>
    <w:tmpl w:val="016A8EBC"/>
    <w:lvl w:ilvl="0" w:tplc="612EBC6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0417829"/>
    <w:multiLevelType w:val="hybridMultilevel"/>
    <w:tmpl w:val="E5F6C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9B37D5"/>
    <w:multiLevelType w:val="hybridMultilevel"/>
    <w:tmpl w:val="6562E184"/>
    <w:lvl w:ilvl="0" w:tplc="6AA811A0">
      <w:start w:val="2"/>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1437BC"/>
    <w:multiLevelType w:val="hybridMultilevel"/>
    <w:tmpl w:val="EEC20A82"/>
    <w:lvl w:ilvl="0" w:tplc="D27090C2">
      <w:start w:val="1"/>
      <w:numFmt w:val="lowerLetter"/>
      <w:lvlText w:val="(%1)"/>
      <w:lvlJc w:val="left"/>
      <w:pPr>
        <w:ind w:left="721" w:hanging="360"/>
      </w:pPr>
      <w:rPr>
        <w:rFonts w:hint="default"/>
      </w:rPr>
    </w:lvl>
    <w:lvl w:ilvl="1" w:tplc="08090019">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20" w15:restartNumberingAfterBreak="0">
    <w:nsid w:val="336F5D6A"/>
    <w:multiLevelType w:val="hybridMultilevel"/>
    <w:tmpl w:val="EDAEDA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3D65CC6"/>
    <w:multiLevelType w:val="hybridMultilevel"/>
    <w:tmpl w:val="B67E8CE4"/>
    <w:lvl w:ilvl="0" w:tplc="E6EA46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806725"/>
    <w:multiLevelType w:val="hybridMultilevel"/>
    <w:tmpl w:val="360CDA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AD34B1"/>
    <w:multiLevelType w:val="hybridMultilevel"/>
    <w:tmpl w:val="31340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2C2682"/>
    <w:multiLevelType w:val="hybridMultilevel"/>
    <w:tmpl w:val="AD5C28CE"/>
    <w:lvl w:ilvl="0" w:tplc="B7D283EE">
      <w:start w:val="1"/>
      <w:numFmt w:val="lowerLetter"/>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5B127E98"/>
    <w:multiLevelType w:val="hybridMultilevel"/>
    <w:tmpl w:val="4198F3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D96D99"/>
    <w:multiLevelType w:val="hybridMultilevel"/>
    <w:tmpl w:val="016A8EBC"/>
    <w:lvl w:ilvl="0" w:tplc="612EBC6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637263E2"/>
    <w:multiLevelType w:val="hybridMultilevel"/>
    <w:tmpl w:val="D8D0278C"/>
    <w:lvl w:ilvl="0" w:tplc="056441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8143E8"/>
    <w:multiLevelType w:val="hybridMultilevel"/>
    <w:tmpl w:val="CF64D2D0"/>
    <w:lvl w:ilvl="0" w:tplc="AB8224B2">
      <w:start w:val="1"/>
      <w:numFmt w:val="lowerRoman"/>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FE561ED"/>
    <w:multiLevelType w:val="hybridMultilevel"/>
    <w:tmpl w:val="24CA9DB4"/>
    <w:lvl w:ilvl="0" w:tplc="12EC253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1103EF9"/>
    <w:multiLevelType w:val="hybridMultilevel"/>
    <w:tmpl w:val="016A8EBC"/>
    <w:lvl w:ilvl="0" w:tplc="612EBC6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72671AD6"/>
    <w:multiLevelType w:val="hybridMultilevel"/>
    <w:tmpl w:val="965A7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EC1FD0"/>
    <w:multiLevelType w:val="hybridMultilevel"/>
    <w:tmpl w:val="7AD01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80228A"/>
    <w:multiLevelType w:val="hybridMultilevel"/>
    <w:tmpl w:val="016A8EBC"/>
    <w:lvl w:ilvl="0" w:tplc="612EBC6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5"/>
  </w:num>
  <w:num w:numId="2">
    <w:abstractNumId w:val="5"/>
  </w:num>
  <w:num w:numId="3">
    <w:abstractNumId w:val="16"/>
  </w:num>
  <w:num w:numId="4">
    <w:abstractNumId w:val="12"/>
  </w:num>
  <w:num w:numId="5">
    <w:abstractNumId w:val="23"/>
  </w:num>
  <w:num w:numId="6">
    <w:abstractNumId w:val="13"/>
  </w:num>
  <w:num w:numId="7">
    <w:abstractNumId w:val="9"/>
  </w:num>
  <w:num w:numId="8">
    <w:abstractNumId w:val="19"/>
  </w:num>
  <w:num w:numId="9">
    <w:abstractNumId w:val="29"/>
  </w:num>
  <w:num w:numId="10">
    <w:abstractNumId w:val="14"/>
  </w:num>
  <w:num w:numId="11">
    <w:abstractNumId w:val="3"/>
  </w:num>
  <w:num w:numId="12">
    <w:abstractNumId w:val="10"/>
  </w:num>
  <w:num w:numId="13">
    <w:abstractNumId w:val="7"/>
  </w:num>
  <w:num w:numId="14">
    <w:abstractNumId w:val="21"/>
  </w:num>
  <w:num w:numId="15">
    <w:abstractNumId w:val="31"/>
  </w:num>
  <w:num w:numId="16">
    <w:abstractNumId w:val="4"/>
  </w:num>
  <w:num w:numId="17">
    <w:abstractNumId w:val="27"/>
  </w:num>
  <w:num w:numId="18">
    <w:abstractNumId w:val="32"/>
  </w:num>
  <w:num w:numId="19">
    <w:abstractNumId w:val="24"/>
  </w:num>
  <w:num w:numId="20">
    <w:abstractNumId w:val="2"/>
  </w:num>
  <w:num w:numId="21">
    <w:abstractNumId w:val="30"/>
  </w:num>
  <w:num w:numId="22">
    <w:abstractNumId w:val="28"/>
  </w:num>
  <w:num w:numId="23">
    <w:abstractNumId w:val="22"/>
  </w:num>
  <w:num w:numId="24">
    <w:abstractNumId w:val="18"/>
  </w:num>
  <w:num w:numId="25">
    <w:abstractNumId w:val="6"/>
  </w:num>
  <w:num w:numId="26">
    <w:abstractNumId w:val="8"/>
  </w:num>
  <w:num w:numId="27">
    <w:abstractNumId w:val="20"/>
  </w:num>
  <w:num w:numId="28">
    <w:abstractNumId w:val="17"/>
  </w:num>
  <w:num w:numId="29">
    <w:abstractNumId w:val="15"/>
  </w:num>
  <w:num w:numId="30">
    <w:abstractNumId w:val="0"/>
  </w:num>
  <w:num w:numId="31">
    <w:abstractNumId w:val="33"/>
  </w:num>
  <w:num w:numId="32">
    <w:abstractNumId w:val="26"/>
  </w:num>
  <w:num w:numId="33">
    <w:abstractNumId w:val="11"/>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BC"/>
    <w:rsid w:val="00000914"/>
    <w:rsid w:val="000009F1"/>
    <w:rsid w:val="00001766"/>
    <w:rsid w:val="0000247B"/>
    <w:rsid w:val="000032E0"/>
    <w:rsid w:val="0000469B"/>
    <w:rsid w:val="00005102"/>
    <w:rsid w:val="000064B2"/>
    <w:rsid w:val="000070AB"/>
    <w:rsid w:val="00010E79"/>
    <w:rsid w:val="0001100E"/>
    <w:rsid w:val="00011187"/>
    <w:rsid w:val="00011729"/>
    <w:rsid w:val="00011B9E"/>
    <w:rsid w:val="000141C8"/>
    <w:rsid w:val="00014E34"/>
    <w:rsid w:val="000153B8"/>
    <w:rsid w:val="000162C8"/>
    <w:rsid w:val="000209F3"/>
    <w:rsid w:val="00021623"/>
    <w:rsid w:val="00030F69"/>
    <w:rsid w:val="00032093"/>
    <w:rsid w:val="0003325C"/>
    <w:rsid w:val="000332AE"/>
    <w:rsid w:val="00035F7D"/>
    <w:rsid w:val="00035FF3"/>
    <w:rsid w:val="000360F8"/>
    <w:rsid w:val="00037C43"/>
    <w:rsid w:val="000418F0"/>
    <w:rsid w:val="000423A3"/>
    <w:rsid w:val="0004240A"/>
    <w:rsid w:val="00045D90"/>
    <w:rsid w:val="00051021"/>
    <w:rsid w:val="0005222D"/>
    <w:rsid w:val="000524F0"/>
    <w:rsid w:val="00052D54"/>
    <w:rsid w:val="00053E84"/>
    <w:rsid w:val="0005642E"/>
    <w:rsid w:val="00056646"/>
    <w:rsid w:val="000576EB"/>
    <w:rsid w:val="00057C19"/>
    <w:rsid w:val="00060A83"/>
    <w:rsid w:val="00063576"/>
    <w:rsid w:val="00064B2D"/>
    <w:rsid w:val="00065F1F"/>
    <w:rsid w:val="000726DD"/>
    <w:rsid w:val="00072704"/>
    <w:rsid w:val="00073AD1"/>
    <w:rsid w:val="0007425D"/>
    <w:rsid w:val="0007561C"/>
    <w:rsid w:val="00076B66"/>
    <w:rsid w:val="00076D33"/>
    <w:rsid w:val="00076D3B"/>
    <w:rsid w:val="00077859"/>
    <w:rsid w:val="00077AEA"/>
    <w:rsid w:val="00077C83"/>
    <w:rsid w:val="00081B0A"/>
    <w:rsid w:val="000821E6"/>
    <w:rsid w:val="0008263F"/>
    <w:rsid w:val="0008366D"/>
    <w:rsid w:val="00083FEB"/>
    <w:rsid w:val="0008618B"/>
    <w:rsid w:val="00087B4C"/>
    <w:rsid w:val="00091E5B"/>
    <w:rsid w:val="000934CE"/>
    <w:rsid w:val="0009487A"/>
    <w:rsid w:val="0009607A"/>
    <w:rsid w:val="0009666E"/>
    <w:rsid w:val="00096689"/>
    <w:rsid w:val="00096F57"/>
    <w:rsid w:val="000A04DA"/>
    <w:rsid w:val="000A0E8D"/>
    <w:rsid w:val="000A0F05"/>
    <w:rsid w:val="000A33DB"/>
    <w:rsid w:val="000A3D8B"/>
    <w:rsid w:val="000A4202"/>
    <w:rsid w:val="000A6AAD"/>
    <w:rsid w:val="000B427A"/>
    <w:rsid w:val="000B512F"/>
    <w:rsid w:val="000B680D"/>
    <w:rsid w:val="000B68E9"/>
    <w:rsid w:val="000B6AF2"/>
    <w:rsid w:val="000B74E8"/>
    <w:rsid w:val="000C0DD1"/>
    <w:rsid w:val="000C1704"/>
    <w:rsid w:val="000C2EAB"/>
    <w:rsid w:val="000C59CD"/>
    <w:rsid w:val="000C5AF5"/>
    <w:rsid w:val="000C6989"/>
    <w:rsid w:val="000D02A2"/>
    <w:rsid w:val="000D1DE4"/>
    <w:rsid w:val="000D4F04"/>
    <w:rsid w:val="000D5D44"/>
    <w:rsid w:val="000D6973"/>
    <w:rsid w:val="000D6C1F"/>
    <w:rsid w:val="000D6FD4"/>
    <w:rsid w:val="000D790F"/>
    <w:rsid w:val="000D7B1C"/>
    <w:rsid w:val="000E0AE4"/>
    <w:rsid w:val="000E1076"/>
    <w:rsid w:val="000E1758"/>
    <w:rsid w:val="000E1EA4"/>
    <w:rsid w:val="000E2346"/>
    <w:rsid w:val="000E277B"/>
    <w:rsid w:val="000E3B3F"/>
    <w:rsid w:val="000E3DBC"/>
    <w:rsid w:val="000E662F"/>
    <w:rsid w:val="000E7C1F"/>
    <w:rsid w:val="000E7F63"/>
    <w:rsid w:val="000F069B"/>
    <w:rsid w:val="000F0BE2"/>
    <w:rsid w:val="000F3CFE"/>
    <w:rsid w:val="000F4577"/>
    <w:rsid w:val="000F6568"/>
    <w:rsid w:val="000F77C7"/>
    <w:rsid w:val="00101703"/>
    <w:rsid w:val="00102088"/>
    <w:rsid w:val="00102819"/>
    <w:rsid w:val="001037B6"/>
    <w:rsid w:val="00103F09"/>
    <w:rsid w:val="00103F60"/>
    <w:rsid w:val="001044DD"/>
    <w:rsid w:val="00104544"/>
    <w:rsid w:val="001048EB"/>
    <w:rsid w:val="0010778D"/>
    <w:rsid w:val="00110188"/>
    <w:rsid w:val="001122EC"/>
    <w:rsid w:val="0011483A"/>
    <w:rsid w:val="00114AB4"/>
    <w:rsid w:val="00117AFD"/>
    <w:rsid w:val="00120705"/>
    <w:rsid w:val="00121756"/>
    <w:rsid w:val="0012388D"/>
    <w:rsid w:val="0012697B"/>
    <w:rsid w:val="00126AF7"/>
    <w:rsid w:val="001314CC"/>
    <w:rsid w:val="0013508D"/>
    <w:rsid w:val="00136B57"/>
    <w:rsid w:val="001420F8"/>
    <w:rsid w:val="001459EC"/>
    <w:rsid w:val="00150B54"/>
    <w:rsid w:val="0015156B"/>
    <w:rsid w:val="0015187A"/>
    <w:rsid w:val="00155DA4"/>
    <w:rsid w:val="001563C6"/>
    <w:rsid w:val="00157291"/>
    <w:rsid w:val="001573CE"/>
    <w:rsid w:val="00157A43"/>
    <w:rsid w:val="001628D6"/>
    <w:rsid w:val="0016621D"/>
    <w:rsid w:val="00167A3F"/>
    <w:rsid w:val="00170BD0"/>
    <w:rsid w:val="00170DD4"/>
    <w:rsid w:val="0017158E"/>
    <w:rsid w:val="001723C9"/>
    <w:rsid w:val="001727F1"/>
    <w:rsid w:val="00172AB4"/>
    <w:rsid w:val="00172B0A"/>
    <w:rsid w:val="00172C55"/>
    <w:rsid w:val="00174FA6"/>
    <w:rsid w:val="001756D8"/>
    <w:rsid w:val="0018214F"/>
    <w:rsid w:val="001829C4"/>
    <w:rsid w:val="00182C4C"/>
    <w:rsid w:val="00186AF4"/>
    <w:rsid w:val="001878C5"/>
    <w:rsid w:val="00187F02"/>
    <w:rsid w:val="001900DB"/>
    <w:rsid w:val="001933FC"/>
    <w:rsid w:val="0019399D"/>
    <w:rsid w:val="00193A7F"/>
    <w:rsid w:val="0019553E"/>
    <w:rsid w:val="00195E57"/>
    <w:rsid w:val="00196FA4"/>
    <w:rsid w:val="00197D8D"/>
    <w:rsid w:val="001A1738"/>
    <w:rsid w:val="001A1A75"/>
    <w:rsid w:val="001A20EA"/>
    <w:rsid w:val="001A2E0E"/>
    <w:rsid w:val="001A774F"/>
    <w:rsid w:val="001A7E9A"/>
    <w:rsid w:val="001B03E8"/>
    <w:rsid w:val="001B149F"/>
    <w:rsid w:val="001B3E7D"/>
    <w:rsid w:val="001B4812"/>
    <w:rsid w:val="001B50E5"/>
    <w:rsid w:val="001B65B2"/>
    <w:rsid w:val="001C016A"/>
    <w:rsid w:val="001C1470"/>
    <w:rsid w:val="001C16A2"/>
    <w:rsid w:val="001C2554"/>
    <w:rsid w:val="001C27A3"/>
    <w:rsid w:val="001C582E"/>
    <w:rsid w:val="001C7850"/>
    <w:rsid w:val="001C7F96"/>
    <w:rsid w:val="001D399B"/>
    <w:rsid w:val="001D43F6"/>
    <w:rsid w:val="001D5DA6"/>
    <w:rsid w:val="001D66DF"/>
    <w:rsid w:val="001E09FA"/>
    <w:rsid w:val="001E0CE7"/>
    <w:rsid w:val="001E0FF1"/>
    <w:rsid w:val="001E12C0"/>
    <w:rsid w:val="001E1F3A"/>
    <w:rsid w:val="001E3ADB"/>
    <w:rsid w:val="001E3F24"/>
    <w:rsid w:val="001E51B7"/>
    <w:rsid w:val="001E5FD5"/>
    <w:rsid w:val="001E7464"/>
    <w:rsid w:val="001F076D"/>
    <w:rsid w:val="001F3DA2"/>
    <w:rsid w:val="001F4585"/>
    <w:rsid w:val="001F57E7"/>
    <w:rsid w:val="001F7F63"/>
    <w:rsid w:val="00200484"/>
    <w:rsid w:val="00202A6F"/>
    <w:rsid w:val="00203936"/>
    <w:rsid w:val="0020582A"/>
    <w:rsid w:val="00210F83"/>
    <w:rsid w:val="00213956"/>
    <w:rsid w:val="00214708"/>
    <w:rsid w:val="00214AF0"/>
    <w:rsid w:val="00214B30"/>
    <w:rsid w:val="00215C84"/>
    <w:rsid w:val="00216EAE"/>
    <w:rsid w:val="00217859"/>
    <w:rsid w:val="0022197C"/>
    <w:rsid w:val="00221D07"/>
    <w:rsid w:val="00224E3B"/>
    <w:rsid w:val="002260E4"/>
    <w:rsid w:val="00227E4A"/>
    <w:rsid w:val="0023060F"/>
    <w:rsid w:val="00233808"/>
    <w:rsid w:val="00235E0B"/>
    <w:rsid w:val="00240033"/>
    <w:rsid w:val="002403E4"/>
    <w:rsid w:val="002421C1"/>
    <w:rsid w:val="00242765"/>
    <w:rsid w:val="00242AA8"/>
    <w:rsid w:val="00242F69"/>
    <w:rsid w:val="0024469B"/>
    <w:rsid w:val="002447EB"/>
    <w:rsid w:val="002448AA"/>
    <w:rsid w:val="00246EBF"/>
    <w:rsid w:val="00247BD8"/>
    <w:rsid w:val="00247F93"/>
    <w:rsid w:val="00250197"/>
    <w:rsid w:val="00252393"/>
    <w:rsid w:val="002526C2"/>
    <w:rsid w:val="00252A09"/>
    <w:rsid w:val="002604EE"/>
    <w:rsid w:val="0026387E"/>
    <w:rsid w:val="00264B27"/>
    <w:rsid w:val="00271869"/>
    <w:rsid w:val="00271FCF"/>
    <w:rsid w:val="00272730"/>
    <w:rsid w:val="00274772"/>
    <w:rsid w:val="002758A0"/>
    <w:rsid w:val="00280129"/>
    <w:rsid w:val="00280D17"/>
    <w:rsid w:val="00286C6E"/>
    <w:rsid w:val="0029204E"/>
    <w:rsid w:val="00292B9B"/>
    <w:rsid w:val="00293209"/>
    <w:rsid w:val="00293B6C"/>
    <w:rsid w:val="002959AD"/>
    <w:rsid w:val="00296B55"/>
    <w:rsid w:val="00296F37"/>
    <w:rsid w:val="002A0194"/>
    <w:rsid w:val="002A06FD"/>
    <w:rsid w:val="002A0718"/>
    <w:rsid w:val="002A192B"/>
    <w:rsid w:val="002A2136"/>
    <w:rsid w:val="002A2334"/>
    <w:rsid w:val="002A2530"/>
    <w:rsid w:val="002A5F8B"/>
    <w:rsid w:val="002A7E9B"/>
    <w:rsid w:val="002A7F6C"/>
    <w:rsid w:val="002B0071"/>
    <w:rsid w:val="002B130F"/>
    <w:rsid w:val="002B1D6F"/>
    <w:rsid w:val="002B254B"/>
    <w:rsid w:val="002B2E52"/>
    <w:rsid w:val="002B3C3C"/>
    <w:rsid w:val="002B46E5"/>
    <w:rsid w:val="002B7734"/>
    <w:rsid w:val="002C139A"/>
    <w:rsid w:val="002C1A3B"/>
    <w:rsid w:val="002C35CA"/>
    <w:rsid w:val="002C391F"/>
    <w:rsid w:val="002C4747"/>
    <w:rsid w:val="002C485C"/>
    <w:rsid w:val="002C7068"/>
    <w:rsid w:val="002D39DA"/>
    <w:rsid w:val="002D3E6F"/>
    <w:rsid w:val="002D5E70"/>
    <w:rsid w:val="002E0C5D"/>
    <w:rsid w:val="002E16D5"/>
    <w:rsid w:val="002E1820"/>
    <w:rsid w:val="002E7930"/>
    <w:rsid w:val="002F0782"/>
    <w:rsid w:val="002F2871"/>
    <w:rsid w:val="002F35EA"/>
    <w:rsid w:val="002F37D6"/>
    <w:rsid w:val="002F6488"/>
    <w:rsid w:val="0030005C"/>
    <w:rsid w:val="00304992"/>
    <w:rsid w:val="00305C54"/>
    <w:rsid w:val="00306BD8"/>
    <w:rsid w:val="0031016C"/>
    <w:rsid w:val="0031135E"/>
    <w:rsid w:val="00311807"/>
    <w:rsid w:val="0031426B"/>
    <w:rsid w:val="00314913"/>
    <w:rsid w:val="00315B8B"/>
    <w:rsid w:val="00317404"/>
    <w:rsid w:val="003213F9"/>
    <w:rsid w:val="0032248F"/>
    <w:rsid w:val="00322CDF"/>
    <w:rsid w:val="00323AB6"/>
    <w:rsid w:val="00323DBF"/>
    <w:rsid w:val="003258E9"/>
    <w:rsid w:val="00327867"/>
    <w:rsid w:val="00330841"/>
    <w:rsid w:val="00330904"/>
    <w:rsid w:val="0033203F"/>
    <w:rsid w:val="00332463"/>
    <w:rsid w:val="00332B12"/>
    <w:rsid w:val="003359C4"/>
    <w:rsid w:val="00335C60"/>
    <w:rsid w:val="00337CBC"/>
    <w:rsid w:val="0034081C"/>
    <w:rsid w:val="00340AB6"/>
    <w:rsid w:val="00341199"/>
    <w:rsid w:val="003418FA"/>
    <w:rsid w:val="003428FC"/>
    <w:rsid w:val="003429B0"/>
    <w:rsid w:val="003434DB"/>
    <w:rsid w:val="003438F7"/>
    <w:rsid w:val="00346622"/>
    <w:rsid w:val="00347D14"/>
    <w:rsid w:val="003507DB"/>
    <w:rsid w:val="00351B07"/>
    <w:rsid w:val="00351E60"/>
    <w:rsid w:val="003521C8"/>
    <w:rsid w:val="0035420A"/>
    <w:rsid w:val="003548EE"/>
    <w:rsid w:val="00357C18"/>
    <w:rsid w:val="00362866"/>
    <w:rsid w:val="00362940"/>
    <w:rsid w:val="0036533D"/>
    <w:rsid w:val="00371B29"/>
    <w:rsid w:val="00374C1A"/>
    <w:rsid w:val="00375A2D"/>
    <w:rsid w:val="00376304"/>
    <w:rsid w:val="003763D0"/>
    <w:rsid w:val="003766F8"/>
    <w:rsid w:val="00377882"/>
    <w:rsid w:val="00377E37"/>
    <w:rsid w:val="00380106"/>
    <w:rsid w:val="00380935"/>
    <w:rsid w:val="003814F0"/>
    <w:rsid w:val="00381E07"/>
    <w:rsid w:val="00382FBC"/>
    <w:rsid w:val="00384A4D"/>
    <w:rsid w:val="00385788"/>
    <w:rsid w:val="003906C9"/>
    <w:rsid w:val="00391555"/>
    <w:rsid w:val="00391769"/>
    <w:rsid w:val="0039229F"/>
    <w:rsid w:val="00393BA3"/>
    <w:rsid w:val="003953E1"/>
    <w:rsid w:val="003956B3"/>
    <w:rsid w:val="003A0A4D"/>
    <w:rsid w:val="003A0A55"/>
    <w:rsid w:val="003A1C2F"/>
    <w:rsid w:val="003A3D30"/>
    <w:rsid w:val="003A3DCF"/>
    <w:rsid w:val="003A5F90"/>
    <w:rsid w:val="003A6698"/>
    <w:rsid w:val="003A68BE"/>
    <w:rsid w:val="003A6E4E"/>
    <w:rsid w:val="003A7B84"/>
    <w:rsid w:val="003B0735"/>
    <w:rsid w:val="003B1BF2"/>
    <w:rsid w:val="003B750E"/>
    <w:rsid w:val="003B7825"/>
    <w:rsid w:val="003C1382"/>
    <w:rsid w:val="003C170F"/>
    <w:rsid w:val="003C4969"/>
    <w:rsid w:val="003C6622"/>
    <w:rsid w:val="003D273E"/>
    <w:rsid w:val="003D2CDC"/>
    <w:rsid w:val="003D32A8"/>
    <w:rsid w:val="003D3411"/>
    <w:rsid w:val="003D40F7"/>
    <w:rsid w:val="003E2167"/>
    <w:rsid w:val="003E21C9"/>
    <w:rsid w:val="003E41D5"/>
    <w:rsid w:val="003E46BA"/>
    <w:rsid w:val="003E73AD"/>
    <w:rsid w:val="003F27AE"/>
    <w:rsid w:val="003F3E04"/>
    <w:rsid w:val="003F4F90"/>
    <w:rsid w:val="003F74C1"/>
    <w:rsid w:val="00400708"/>
    <w:rsid w:val="00401ADE"/>
    <w:rsid w:val="00402592"/>
    <w:rsid w:val="00403A64"/>
    <w:rsid w:val="00404088"/>
    <w:rsid w:val="00404152"/>
    <w:rsid w:val="004050DD"/>
    <w:rsid w:val="00405B1A"/>
    <w:rsid w:val="004066E7"/>
    <w:rsid w:val="004075FD"/>
    <w:rsid w:val="00410A48"/>
    <w:rsid w:val="00410C76"/>
    <w:rsid w:val="00411907"/>
    <w:rsid w:val="00412CF0"/>
    <w:rsid w:val="00412F04"/>
    <w:rsid w:val="0041383D"/>
    <w:rsid w:val="00417EE3"/>
    <w:rsid w:val="004207EB"/>
    <w:rsid w:val="00420DA1"/>
    <w:rsid w:val="00421730"/>
    <w:rsid w:val="00421FAB"/>
    <w:rsid w:val="00422EC9"/>
    <w:rsid w:val="004236E7"/>
    <w:rsid w:val="00423AC7"/>
    <w:rsid w:val="00424FE6"/>
    <w:rsid w:val="00426606"/>
    <w:rsid w:val="00426CF2"/>
    <w:rsid w:val="00427041"/>
    <w:rsid w:val="004276F5"/>
    <w:rsid w:val="0042782B"/>
    <w:rsid w:val="0043054E"/>
    <w:rsid w:val="00430769"/>
    <w:rsid w:val="00430E5A"/>
    <w:rsid w:val="00430F36"/>
    <w:rsid w:val="00432A42"/>
    <w:rsid w:val="00434C8B"/>
    <w:rsid w:val="00437276"/>
    <w:rsid w:val="00437342"/>
    <w:rsid w:val="00442FCE"/>
    <w:rsid w:val="004446C1"/>
    <w:rsid w:val="00444FAF"/>
    <w:rsid w:val="00446EB5"/>
    <w:rsid w:val="004510F6"/>
    <w:rsid w:val="0045236D"/>
    <w:rsid w:val="00453646"/>
    <w:rsid w:val="00453924"/>
    <w:rsid w:val="00455004"/>
    <w:rsid w:val="0045669E"/>
    <w:rsid w:val="00456B54"/>
    <w:rsid w:val="00456BD5"/>
    <w:rsid w:val="00460B99"/>
    <w:rsid w:val="00462771"/>
    <w:rsid w:val="00464643"/>
    <w:rsid w:val="004666A1"/>
    <w:rsid w:val="00466A97"/>
    <w:rsid w:val="004701A5"/>
    <w:rsid w:val="004766DA"/>
    <w:rsid w:val="004769D1"/>
    <w:rsid w:val="00476FD3"/>
    <w:rsid w:val="0048317E"/>
    <w:rsid w:val="00484245"/>
    <w:rsid w:val="00484EDC"/>
    <w:rsid w:val="00486793"/>
    <w:rsid w:val="00486C66"/>
    <w:rsid w:val="0048705F"/>
    <w:rsid w:val="00490B4D"/>
    <w:rsid w:val="00494A3F"/>
    <w:rsid w:val="004A2037"/>
    <w:rsid w:val="004A64CF"/>
    <w:rsid w:val="004A793C"/>
    <w:rsid w:val="004B047B"/>
    <w:rsid w:val="004B2FD0"/>
    <w:rsid w:val="004B4CDC"/>
    <w:rsid w:val="004B6BA8"/>
    <w:rsid w:val="004C003D"/>
    <w:rsid w:val="004C1E4C"/>
    <w:rsid w:val="004C1EFD"/>
    <w:rsid w:val="004C4626"/>
    <w:rsid w:val="004C7CF1"/>
    <w:rsid w:val="004D121E"/>
    <w:rsid w:val="004D1B1C"/>
    <w:rsid w:val="004D7366"/>
    <w:rsid w:val="004E1ED8"/>
    <w:rsid w:val="004E346D"/>
    <w:rsid w:val="004E5B34"/>
    <w:rsid w:val="004F1766"/>
    <w:rsid w:val="004F2EDA"/>
    <w:rsid w:val="004F3DFB"/>
    <w:rsid w:val="004F4F98"/>
    <w:rsid w:val="004F519E"/>
    <w:rsid w:val="004F5755"/>
    <w:rsid w:val="004F57A0"/>
    <w:rsid w:val="004F6583"/>
    <w:rsid w:val="004F69F6"/>
    <w:rsid w:val="004F79AC"/>
    <w:rsid w:val="00502DD5"/>
    <w:rsid w:val="0050433D"/>
    <w:rsid w:val="00505EA7"/>
    <w:rsid w:val="00506E9B"/>
    <w:rsid w:val="00510B7A"/>
    <w:rsid w:val="005113A0"/>
    <w:rsid w:val="005149B9"/>
    <w:rsid w:val="00515E5B"/>
    <w:rsid w:val="005170F2"/>
    <w:rsid w:val="005174E8"/>
    <w:rsid w:val="00517684"/>
    <w:rsid w:val="005207D8"/>
    <w:rsid w:val="00523930"/>
    <w:rsid w:val="005244F1"/>
    <w:rsid w:val="00524922"/>
    <w:rsid w:val="00524FAA"/>
    <w:rsid w:val="00525168"/>
    <w:rsid w:val="0053285A"/>
    <w:rsid w:val="00533654"/>
    <w:rsid w:val="00536EE6"/>
    <w:rsid w:val="00537CDC"/>
    <w:rsid w:val="005400CB"/>
    <w:rsid w:val="005435F6"/>
    <w:rsid w:val="00545AFF"/>
    <w:rsid w:val="005471F7"/>
    <w:rsid w:val="0054767B"/>
    <w:rsid w:val="00550CC7"/>
    <w:rsid w:val="005517CE"/>
    <w:rsid w:val="00557BB2"/>
    <w:rsid w:val="00560185"/>
    <w:rsid w:val="00562917"/>
    <w:rsid w:val="00567E1B"/>
    <w:rsid w:val="00571888"/>
    <w:rsid w:val="00571B8C"/>
    <w:rsid w:val="005759E9"/>
    <w:rsid w:val="00575A95"/>
    <w:rsid w:val="00576F73"/>
    <w:rsid w:val="00576FBC"/>
    <w:rsid w:val="00577758"/>
    <w:rsid w:val="00577DE3"/>
    <w:rsid w:val="00580DDF"/>
    <w:rsid w:val="005811B7"/>
    <w:rsid w:val="0058423E"/>
    <w:rsid w:val="00586228"/>
    <w:rsid w:val="005865FF"/>
    <w:rsid w:val="00586E67"/>
    <w:rsid w:val="005909BF"/>
    <w:rsid w:val="00591085"/>
    <w:rsid w:val="00592468"/>
    <w:rsid w:val="00592D97"/>
    <w:rsid w:val="005935ED"/>
    <w:rsid w:val="005946D3"/>
    <w:rsid w:val="00594911"/>
    <w:rsid w:val="00596567"/>
    <w:rsid w:val="00596CFF"/>
    <w:rsid w:val="00597631"/>
    <w:rsid w:val="00597DE0"/>
    <w:rsid w:val="005A4202"/>
    <w:rsid w:val="005A572E"/>
    <w:rsid w:val="005B03B2"/>
    <w:rsid w:val="005B084E"/>
    <w:rsid w:val="005B6AF4"/>
    <w:rsid w:val="005B7073"/>
    <w:rsid w:val="005C04CB"/>
    <w:rsid w:val="005C22F5"/>
    <w:rsid w:val="005C28F3"/>
    <w:rsid w:val="005C2D39"/>
    <w:rsid w:val="005C38BE"/>
    <w:rsid w:val="005C6C71"/>
    <w:rsid w:val="005D0EEA"/>
    <w:rsid w:val="005D16AD"/>
    <w:rsid w:val="005D2016"/>
    <w:rsid w:val="005D2C88"/>
    <w:rsid w:val="005D72E1"/>
    <w:rsid w:val="005E06C0"/>
    <w:rsid w:val="005E1545"/>
    <w:rsid w:val="005E1A78"/>
    <w:rsid w:val="005E58D3"/>
    <w:rsid w:val="005E6E16"/>
    <w:rsid w:val="005F0A5D"/>
    <w:rsid w:val="005F1E79"/>
    <w:rsid w:val="005F2A8C"/>
    <w:rsid w:val="005F400E"/>
    <w:rsid w:val="005F4230"/>
    <w:rsid w:val="005F7342"/>
    <w:rsid w:val="006018AA"/>
    <w:rsid w:val="00602B3B"/>
    <w:rsid w:val="00603FAD"/>
    <w:rsid w:val="00605881"/>
    <w:rsid w:val="00606E4D"/>
    <w:rsid w:val="006078EC"/>
    <w:rsid w:val="00610A3C"/>
    <w:rsid w:val="006127C5"/>
    <w:rsid w:val="006138D7"/>
    <w:rsid w:val="00615108"/>
    <w:rsid w:val="006156D1"/>
    <w:rsid w:val="00615E83"/>
    <w:rsid w:val="00616017"/>
    <w:rsid w:val="00617895"/>
    <w:rsid w:val="006227ED"/>
    <w:rsid w:val="00623E62"/>
    <w:rsid w:val="006265C7"/>
    <w:rsid w:val="00627F48"/>
    <w:rsid w:val="0063455F"/>
    <w:rsid w:val="00635814"/>
    <w:rsid w:val="00635997"/>
    <w:rsid w:val="006376A6"/>
    <w:rsid w:val="00641210"/>
    <w:rsid w:val="00641680"/>
    <w:rsid w:val="006507FA"/>
    <w:rsid w:val="00650928"/>
    <w:rsid w:val="00651AF4"/>
    <w:rsid w:val="00652ACE"/>
    <w:rsid w:val="006542DE"/>
    <w:rsid w:val="00656149"/>
    <w:rsid w:val="006618CB"/>
    <w:rsid w:val="00663FCF"/>
    <w:rsid w:val="00664C94"/>
    <w:rsid w:val="006652A2"/>
    <w:rsid w:val="006665B5"/>
    <w:rsid w:val="00667D4D"/>
    <w:rsid w:val="00670954"/>
    <w:rsid w:val="00671FDD"/>
    <w:rsid w:val="006720A8"/>
    <w:rsid w:val="00674ADF"/>
    <w:rsid w:val="00677E68"/>
    <w:rsid w:val="006824F8"/>
    <w:rsid w:val="00683071"/>
    <w:rsid w:val="00692490"/>
    <w:rsid w:val="00692C0D"/>
    <w:rsid w:val="00694119"/>
    <w:rsid w:val="0069666A"/>
    <w:rsid w:val="006969CC"/>
    <w:rsid w:val="00696A15"/>
    <w:rsid w:val="006976DB"/>
    <w:rsid w:val="006979EC"/>
    <w:rsid w:val="006A48A7"/>
    <w:rsid w:val="006A5D40"/>
    <w:rsid w:val="006B1992"/>
    <w:rsid w:val="006B1C9E"/>
    <w:rsid w:val="006B1D57"/>
    <w:rsid w:val="006B2EA1"/>
    <w:rsid w:val="006B4F47"/>
    <w:rsid w:val="006B5767"/>
    <w:rsid w:val="006B6FCE"/>
    <w:rsid w:val="006B74B5"/>
    <w:rsid w:val="006C04A9"/>
    <w:rsid w:val="006C1002"/>
    <w:rsid w:val="006C116D"/>
    <w:rsid w:val="006C22A7"/>
    <w:rsid w:val="006C4C07"/>
    <w:rsid w:val="006C5CF5"/>
    <w:rsid w:val="006C6A6B"/>
    <w:rsid w:val="006D0569"/>
    <w:rsid w:val="006D18E9"/>
    <w:rsid w:val="006D2D6F"/>
    <w:rsid w:val="006D2DC0"/>
    <w:rsid w:val="006D33FF"/>
    <w:rsid w:val="006D6386"/>
    <w:rsid w:val="006E0911"/>
    <w:rsid w:val="006E10A1"/>
    <w:rsid w:val="006F0646"/>
    <w:rsid w:val="006F4A82"/>
    <w:rsid w:val="00700B2F"/>
    <w:rsid w:val="00701BC6"/>
    <w:rsid w:val="00702164"/>
    <w:rsid w:val="00703E37"/>
    <w:rsid w:val="0070460F"/>
    <w:rsid w:val="00706408"/>
    <w:rsid w:val="00710509"/>
    <w:rsid w:val="00710C37"/>
    <w:rsid w:val="00710F56"/>
    <w:rsid w:val="0071107C"/>
    <w:rsid w:val="007127E1"/>
    <w:rsid w:val="007155E2"/>
    <w:rsid w:val="00721E6E"/>
    <w:rsid w:val="00722842"/>
    <w:rsid w:val="00724FA4"/>
    <w:rsid w:val="00727A78"/>
    <w:rsid w:val="00727E3E"/>
    <w:rsid w:val="00730052"/>
    <w:rsid w:val="00730800"/>
    <w:rsid w:val="0073080B"/>
    <w:rsid w:val="0073504E"/>
    <w:rsid w:val="00735C2A"/>
    <w:rsid w:val="00737B9C"/>
    <w:rsid w:val="00741A43"/>
    <w:rsid w:val="0074216C"/>
    <w:rsid w:val="007434EB"/>
    <w:rsid w:val="00751454"/>
    <w:rsid w:val="007518C6"/>
    <w:rsid w:val="007521F1"/>
    <w:rsid w:val="0075354B"/>
    <w:rsid w:val="0075390A"/>
    <w:rsid w:val="00755F02"/>
    <w:rsid w:val="0075603C"/>
    <w:rsid w:val="00756A69"/>
    <w:rsid w:val="007572FB"/>
    <w:rsid w:val="007602AA"/>
    <w:rsid w:val="00760BCF"/>
    <w:rsid w:val="00761080"/>
    <w:rsid w:val="007652EF"/>
    <w:rsid w:val="00765DE1"/>
    <w:rsid w:val="007671E1"/>
    <w:rsid w:val="0077059A"/>
    <w:rsid w:val="007706A1"/>
    <w:rsid w:val="0077298E"/>
    <w:rsid w:val="00772BDC"/>
    <w:rsid w:val="00772F65"/>
    <w:rsid w:val="007746D6"/>
    <w:rsid w:val="007749EC"/>
    <w:rsid w:val="00774BEA"/>
    <w:rsid w:val="00775DC3"/>
    <w:rsid w:val="00777437"/>
    <w:rsid w:val="007776B4"/>
    <w:rsid w:val="00777FE9"/>
    <w:rsid w:val="00780792"/>
    <w:rsid w:val="007819A3"/>
    <w:rsid w:val="00782980"/>
    <w:rsid w:val="0078309E"/>
    <w:rsid w:val="00783435"/>
    <w:rsid w:val="007848C8"/>
    <w:rsid w:val="00790C73"/>
    <w:rsid w:val="00790CBA"/>
    <w:rsid w:val="00792FF6"/>
    <w:rsid w:val="0079475B"/>
    <w:rsid w:val="007952D9"/>
    <w:rsid w:val="007952E4"/>
    <w:rsid w:val="00795D86"/>
    <w:rsid w:val="007966D7"/>
    <w:rsid w:val="0079690D"/>
    <w:rsid w:val="007977F2"/>
    <w:rsid w:val="00797AA0"/>
    <w:rsid w:val="00797E95"/>
    <w:rsid w:val="007A0C5A"/>
    <w:rsid w:val="007A1263"/>
    <w:rsid w:val="007A16C6"/>
    <w:rsid w:val="007A40C5"/>
    <w:rsid w:val="007A44B4"/>
    <w:rsid w:val="007A53BF"/>
    <w:rsid w:val="007A6129"/>
    <w:rsid w:val="007A68B7"/>
    <w:rsid w:val="007A7D3D"/>
    <w:rsid w:val="007B092A"/>
    <w:rsid w:val="007B0A25"/>
    <w:rsid w:val="007B225D"/>
    <w:rsid w:val="007B37B3"/>
    <w:rsid w:val="007B4D94"/>
    <w:rsid w:val="007C1C64"/>
    <w:rsid w:val="007C2272"/>
    <w:rsid w:val="007C22CB"/>
    <w:rsid w:val="007C2CAA"/>
    <w:rsid w:val="007C6A01"/>
    <w:rsid w:val="007D0189"/>
    <w:rsid w:val="007D231D"/>
    <w:rsid w:val="007D52AE"/>
    <w:rsid w:val="007D59D3"/>
    <w:rsid w:val="007E3B56"/>
    <w:rsid w:val="007E48BC"/>
    <w:rsid w:val="007E5E40"/>
    <w:rsid w:val="007E79F7"/>
    <w:rsid w:val="007F0390"/>
    <w:rsid w:val="007F26F0"/>
    <w:rsid w:val="007F2BFE"/>
    <w:rsid w:val="007F3630"/>
    <w:rsid w:val="007F6CC9"/>
    <w:rsid w:val="007F7BF7"/>
    <w:rsid w:val="00800066"/>
    <w:rsid w:val="00807559"/>
    <w:rsid w:val="008107F6"/>
    <w:rsid w:val="00813464"/>
    <w:rsid w:val="0081445C"/>
    <w:rsid w:val="0081587D"/>
    <w:rsid w:val="00816033"/>
    <w:rsid w:val="008163FD"/>
    <w:rsid w:val="0081714A"/>
    <w:rsid w:val="00820685"/>
    <w:rsid w:val="00820C7A"/>
    <w:rsid w:val="00821ACD"/>
    <w:rsid w:val="00822A8E"/>
    <w:rsid w:val="00823EF6"/>
    <w:rsid w:val="00824F69"/>
    <w:rsid w:val="008274D5"/>
    <w:rsid w:val="00827BDA"/>
    <w:rsid w:val="008304C8"/>
    <w:rsid w:val="00831154"/>
    <w:rsid w:val="008365B2"/>
    <w:rsid w:val="008378F2"/>
    <w:rsid w:val="008450BC"/>
    <w:rsid w:val="0084597D"/>
    <w:rsid w:val="00847066"/>
    <w:rsid w:val="00847DAC"/>
    <w:rsid w:val="00850B09"/>
    <w:rsid w:val="00851C3E"/>
    <w:rsid w:val="00852BC2"/>
    <w:rsid w:val="00852DED"/>
    <w:rsid w:val="0085334B"/>
    <w:rsid w:val="00853663"/>
    <w:rsid w:val="008537BA"/>
    <w:rsid w:val="00853917"/>
    <w:rsid w:val="00853A23"/>
    <w:rsid w:val="00856278"/>
    <w:rsid w:val="0085640E"/>
    <w:rsid w:val="00856668"/>
    <w:rsid w:val="00856712"/>
    <w:rsid w:val="008579D6"/>
    <w:rsid w:val="00860808"/>
    <w:rsid w:val="00860839"/>
    <w:rsid w:val="00861C13"/>
    <w:rsid w:val="00861FA8"/>
    <w:rsid w:val="00862349"/>
    <w:rsid w:val="00862BF3"/>
    <w:rsid w:val="0086571E"/>
    <w:rsid w:val="00870129"/>
    <w:rsid w:val="00870214"/>
    <w:rsid w:val="008708ED"/>
    <w:rsid w:val="00871116"/>
    <w:rsid w:val="00872B32"/>
    <w:rsid w:val="00873003"/>
    <w:rsid w:val="00874839"/>
    <w:rsid w:val="00874A0E"/>
    <w:rsid w:val="0087567A"/>
    <w:rsid w:val="00875EF5"/>
    <w:rsid w:val="0087737D"/>
    <w:rsid w:val="00877592"/>
    <w:rsid w:val="00884A62"/>
    <w:rsid w:val="00885C51"/>
    <w:rsid w:val="00890269"/>
    <w:rsid w:val="00891AF3"/>
    <w:rsid w:val="00893544"/>
    <w:rsid w:val="00895B13"/>
    <w:rsid w:val="0089681E"/>
    <w:rsid w:val="00896B85"/>
    <w:rsid w:val="00897B63"/>
    <w:rsid w:val="008A243D"/>
    <w:rsid w:val="008A328A"/>
    <w:rsid w:val="008A46AA"/>
    <w:rsid w:val="008A5AFD"/>
    <w:rsid w:val="008A70B6"/>
    <w:rsid w:val="008A70D2"/>
    <w:rsid w:val="008A7F4D"/>
    <w:rsid w:val="008B1875"/>
    <w:rsid w:val="008B4AB3"/>
    <w:rsid w:val="008C1421"/>
    <w:rsid w:val="008C2FB8"/>
    <w:rsid w:val="008C4584"/>
    <w:rsid w:val="008C4E76"/>
    <w:rsid w:val="008D0608"/>
    <w:rsid w:val="008D06C6"/>
    <w:rsid w:val="008D11E4"/>
    <w:rsid w:val="008D2958"/>
    <w:rsid w:val="008D2FB9"/>
    <w:rsid w:val="008D32FF"/>
    <w:rsid w:val="008D334C"/>
    <w:rsid w:val="008D38DF"/>
    <w:rsid w:val="008D3B75"/>
    <w:rsid w:val="008D5E9D"/>
    <w:rsid w:val="008D6A64"/>
    <w:rsid w:val="008D79D1"/>
    <w:rsid w:val="008E0DA9"/>
    <w:rsid w:val="008E190A"/>
    <w:rsid w:val="008E1E7C"/>
    <w:rsid w:val="008E5314"/>
    <w:rsid w:val="008E6250"/>
    <w:rsid w:val="008E6D6B"/>
    <w:rsid w:val="008E6FE4"/>
    <w:rsid w:val="008E702C"/>
    <w:rsid w:val="008F0DAB"/>
    <w:rsid w:val="008F3A36"/>
    <w:rsid w:val="008F3B6C"/>
    <w:rsid w:val="008F732F"/>
    <w:rsid w:val="008F78B6"/>
    <w:rsid w:val="00903061"/>
    <w:rsid w:val="00913EA7"/>
    <w:rsid w:val="00914CFD"/>
    <w:rsid w:val="0091518C"/>
    <w:rsid w:val="00915373"/>
    <w:rsid w:val="00917C6F"/>
    <w:rsid w:val="00920249"/>
    <w:rsid w:val="00920587"/>
    <w:rsid w:val="00920E3B"/>
    <w:rsid w:val="00923D3A"/>
    <w:rsid w:val="00923E1B"/>
    <w:rsid w:val="00924E96"/>
    <w:rsid w:val="00926C91"/>
    <w:rsid w:val="00932F14"/>
    <w:rsid w:val="0093621F"/>
    <w:rsid w:val="0094247F"/>
    <w:rsid w:val="00942D60"/>
    <w:rsid w:val="00942E7F"/>
    <w:rsid w:val="0094343F"/>
    <w:rsid w:val="0094358A"/>
    <w:rsid w:val="009460FA"/>
    <w:rsid w:val="00947534"/>
    <w:rsid w:val="009478A1"/>
    <w:rsid w:val="00951B00"/>
    <w:rsid w:val="009531DC"/>
    <w:rsid w:val="00953852"/>
    <w:rsid w:val="009538CD"/>
    <w:rsid w:val="00953A4A"/>
    <w:rsid w:val="009548D8"/>
    <w:rsid w:val="00955B6C"/>
    <w:rsid w:val="00956A3A"/>
    <w:rsid w:val="00957371"/>
    <w:rsid w:val="00960890"/>
    <w:rsid w:val="009620D7"/>
    <w:rsid w:val="00962E1F"/>
    <w:rsid w:val="00963B8B"/>
    <w:rsid w:val="0096523B"/>
    <w:rsid w:val="00967277"/>
    <w:rsid w:val="00967C11"/>
    <w:rsid w:val="00967D80"/>
    <w:rsid w:val="009708FA"/>
    <w:rsid w:val="00972D06"/>
    <w:rsid w:val="00981BA8"/>
    <w:rsid w:val="0098296D"/>
    <w:rsid w:val="009856D5"/>
    <w:rsid w:val="009874C0"/>
    <w:rsid w:val="00987B97"/>
    <w:rsid w:val="00991F60"/>
    <w:rsid w:val="00992075"/>
    <w:rsid w:val="0099323D"/>
    <w:rsid w:val="009944C5"/>
    <w:rsid w:val="00995F96"/>
    <w:rsid w:val="00996145"/>
    <w:rsid w:val="0099623A"/>
    <w:rsid w:val="00996827"/>
    <w:rsid w:val="009A2699"/>
    <w:rsid w:val="009A2DC9"/>
    <w:rsid w:val="009A323F"/>
    <w:rsid w:val="009A34DF"/>
    <w:rsid w:val="009A391C"/>
    <w:rsid w:val="009A478F"/>
    <w:rsid w:val="009A6DB5"/>
    <w:rsid w:val="009B0D32"/>
    <w:rsid w:val="009B4683"/>
    <w:rsid w:val="009B4A45"/>
    <w:rsid w:val="009B4FB4"/>
    <w:rsid w:val="009B5C12"/>
    <w:rsid w:val="009B5E01"/>
    <w:rsid w:val="009B64E5"/>
    <w:rsid w:val="009B6DF7"/>
    <w:rsid w:val="009B7472"/>
    <w:rsid w:val="009B7475"/>
    <w:rsid w:val="009C1928"/>
    <w:rsid w:val="009C1F6B"/>
    <w:rsid w:val="009C2559"/>
    <w:rsid w:val="009D5370"/>
    <w:rsid w:val="009E0005"/>
    <w:rsid w:val="009E0A61"/>
    <w:rsid w:val="009E2081"/>
    <w:rsid w:val="009E2C69"/>
    <w:rsid w:val="009E3010"/>
    <w:rsid w:val="009E46F5"/>
    <w:rsid w:val="009F10E1"/>
    <w:rsid w:val="009F203B"/>
    <w:rsid w:val="009F2AA3"/>
    <w:rsid w:val="009F4DC3"/>
    <w:rsid w:val="009F50CE"/>
    <w:rsid w:val="009F670E"/>
    <w:rsid w:val="009F6D99"/>
    <w:rsid w:val="009F7065"/>
    <w:rsid w:val="009F79AD"/>
    <w:rsid w:val="00A0048C"/>
    <w:rsid w:val="00A00CE5"/>
    <w:rsid w:val="00A03DD7"/>
    <w:rsid w:val="00A04C55"/>
    <w:rsid w:val="00A05C7B"/>
    <w:rsid w:val="00A06F90"/>
    <w:rsid w:val="00A07FBC"/>
    <w:rsid w:val="00A10CEF"/>
    <w:rsid w:val="00A10E1D"/>
    <w:rsid w:val="00A14478"/>
    <w:rsid w:val="00A15804"/>
    <w:rsid w:val="00A21C00"/>
    <w:rsid w:val="00A227BA"/>
    <w:rsid w:val="00A22E8F"/>
    <w:rsid w:val="00A2449C"/>
    <w:rsid w:val="00A25617"/>
    <w:rsid w:val="00A261B8"/>
    <w:rsid w:val="00A27B2E"/>
    <w:rsid w:val="00A318EB"/>
    <w:rsid w:val="00A3215D"/>
    <w:rsid w:val="00A34981"/>
    <w:rsid w:val="00A34E23"/>
    <w:rsid w:val="00A36BDE"/>
    <w:rsid w:val="00A42740"/>
    <w:rsid w:val="00A432B7"/>
    <w:rsid w:val="00A44CFC"/>
    <w:rsid w:val="00A44EA5"/>
    <w:rsid w:val="00A45088"/>
    <w:rsid w:val="00A462E2"/>
    <w:rsid w:val="00A476B5"/>
    <w:rsid w:val="00A508DF"/>
    <w:rsid w:val="00A509A1"/>
    <w:rsid w:val="00A51F8A"/>
    <w:rsid w:val="00A526AF"/>
    <w:rsid w:val="00A52FD4"/>
    <w:rsid w:val="00A5511B"/>
    <w:rsid w:val="00A551B9"/>
    <w:rsid w:val="00A560AA"/>
    <w:rsid w:val="00A56DA7"/>
    <w:rsid w:val="00A56DC7"/>
    <w:rsid w:val="00A60F71"/>
    <w:rsid w:val="00A64146"/>
    <w:rsid w:val="00A66FDD"/>
    <w:rsid w:val="00A671E6"/>
    <w:rsid w:val="00A709E5"/>
    <w:rsid w:val="00A70F81"/>
    <w:rsid w:val="00A720BA"/>
    <w:rsid w:val="00A7422F"/>
    <w:rsid w:val="00A74FD1"/>
    <w:rsid w:val="00A831D9"/>
    <w:rsid w:val="00A84A58"/>
    <w:rsid w:val="00A86D5E"/>
    <w:rsid w:val="00A871F4"/>
    <w:rsid w:val="00A9153A"/>
    <w:rsid w:val="00A9175E"/>
    <w:rsid w:val="00A929A9"/>
    <w:rsid w:val="00A93CB5"/>
    <w:rsid w:val="00A93F92"/>
    <w:rsid w:val="00A96594"/>
    <w:rsid w:val="00A9724F"/>
    <w:rsid w:val="00AA046F"/>
    <w:rsid w:val="00AA24AE"/>
    <w:rsid w:val="00AA2DFB"/>
    <w:rsid w:val="00AA3269"/>
    <w:rsid w:val="00AA41BA"/>
    <w:rsid w:val="00AA6D0D"/>
    <w:rsid w:val="00AA6FA3"/>
    <w:rsid w:val="00AA7267"/>
    <w:rsid w:val="00AA7CB1"/>
    <w:rsid w:val="00AB1519"/>
    <w:rsid w:val="00AB33F1"/>
    <w:rsid w:val="00AB50B2"/>
    <w:rsid w:val="00AB65BE"/>
    <w:rsid w:val="00AB7AD1"/>
    <w:rsid w:val="00AC428E"/>
    <w:rsid w:val="00AC4597"/>
    <w:rsid w:val="00AC5534"/>
    <w:rsid w:val="00AC5DE5"/>
    <w:rsid w:val="00AC72CA"/>
    <w:rsid w:val="00AD1B9D"/>
    <w:rsid w:val="00AD2527"/>
    <w:rsid w:val="00AD344F"/>
    <w:rsid w:val="00AD636D"/>
    <w:rsid w:val="00AD7619"/>
    <w:rsid w:val="00AD77B5"/>
    <w:rsid w:val="00AE47F3"/>
    <w:rsid w:val="00AE4FFD"/>
    <w:rsid w:val="00AE58BB"/>
    <w:rsid w:val="00AE7CBB"/>
    <w:rsid w:val="00AF24FA"/>
    <w:rsid w:val="00AF321A"/>
    <w:rsid w:val="00AF32F2"/>
    <w:rsid w:val="00AF387F"/>
    <w:rsid w:val="00AF397D"/>
    <w:rsid w:val="00AF6C8B"/>
    <w:rsid w:val="00B00E7F"/>
    <w:rsid w:val="00B0148F"/>
    <w:rsid w:val="00B031A5"/>
    <w:rsid w:val="00B05023"/>
    <w:rsid w:val="00B05BE7"/>
    <w:rsid w:val="00B05F7E"/>
    <w:rsid w:val="00B13025"/>
    <w:rsid w:val="00B14ED5"/>
    <w:rsid w:val="00B1505C"/>
    <w:rsid w:val="00B16D45"/>
    <w:rsid w:val="00B16FBF"/>
    <w:rsid w:val="00B17112"/>
    <w:rsid w:val="00B21055"/>
    <w:rsid w:val="00B21DCC"/>
    <w:rsid w:val="00B239E6"/>
    <w:rsid w:val="00B24963"/>
    <w:rsid w:val="00B25F37"/>
    <w:rsid w:val="00B32919"/>
    <w:rsid w:val="00B3595C"/>
    <w:rsid w:val="00B36F9A"/>
    <w:rsid w:val="00B37158"/>
    <w:rsid w:val="00B408EF"/>
    <w:rsid w:val="00B412A1"/>
    <w:rsid w:val="00B41335"/>
    <w:rsid w:val="00B425AA"/>
    <w:rsid w:val="00B42E7F"/>
    <w:rsid w:val="00B44422"/>
    <w:rsid w:val="00B44E69"/>
    <w:rsid w:val="00B46EA0"/>
    <w:rsid w:val="00B552C4"/>
    <w:rsid w:val="00B55714"/>
    <w:rsid w:val="00B55D11"/>
    <w:rsid w:val="00B56396"/>
    <w:rsid w:val="00B56C5E"/>
    <w:rsid w:val="00B607A3"/>
    <w:rsid w:val="00B611AF"/>
    <w:rsid w:val="00B62B49"/>
    <w:rsid w:val="00B630A8"/>
    <w:rsid w:val="00B63BBA"/>
    <w:rsid w:val="00B6622C"/>
    <w:rsid w:val="00B67971"/>
    <w:rsid w:val="00B67FD8"/>
    <w:rsid w:val="00B70475"/>
    <w:rsid w:val="00B70CAA"/>
    <w:rsid w:val="00B72101"/>
    <w:rsid w:val="00B731D3"/>
    <w:rsid w:val="00B73445"/>
    <w:rsid w:val="00B748D3"/>
    <w:rsid w:val="00B756F8"/>
    <w:rsid w:val="00B75B57"/>
    <w:rsid w:val="00B76866"/>
    <w:rsid w:val="00B77C18"/>
    <w:rsid w:val="00B77F2E"/>
    <w:rsid w:val="00B77F75"/>
    <w:rsid w:val="00B811B3"/>
    <w:rsid w:val="00B81A42"/>
    <w:rsid w:val="00B8209E"/>
    <w:rsid w:val="00B839A3"/>
    <w:rsid w:val="00B902BD"/>
    <w:rsid w:val="00B909CA"/>
    <w:rsid w:val="00B92501"/>
    <w:rsid w:val="00B93858"/>
    <w:rsid w:val="00B948EE"/>
    <w:rsid w:val="00B95F6B"/>
    <w:rsid w:val="00B961E5"/>
    <w:rsid w:val="00B96665"/>
    <w:rsid w:val="00BA1009"/>
    <w:rsid w:val="00BA1D32"/>
    <w:rsid w:val="00BA6D1A"/>
    <w:rsid w:val="00BA739E"/>
    <w:rsid w:val="00BA77C9"/>
    <w:rsid w:val="00BA7D9A"/>
    <w:rsid w:val="00BB0EC9"/>
    <w:rsid w:val="00BB45E9"/>
    <w:rsid w:val="00BB688C"/>
    <w:rsid w:val="00BB7D89"/>
    <w:rsid w:val="00BC039A"/>
    <w:rsid w:val="00BC13FA"/>
    <w:rsid w:val="00BC301D"/>
    <w:rsid w:val="00BD2A39"/>
    <w:rsid w:val="00BD2C10"/>
    <w:rsid w:val="00BD2E80"/>
    <w:rsid w:val="00BD49FF"/>
    <w:rsid w:val="00BD4B64"/>
    <w:rsid w:val="00BD64C1"/>
    <w:rsid w:val="00BD77E1"/>
    <w:rsid w:val="00BE1130"/>
    <w:rsid w:val="00BE11B8"/>
    <w:rsid w:val="00BE1922"/>
    <w:rsid w:val="00BF001D"/>
    <w:rsid w:val="00BF45A3"/>
    <w:rsid w:val="00BF5892"/>
    <w:rsid w:val="00BF7FF0"/>
    <w:rsid w:val="00C009A7"/>
    <w:rsid w:val="00C058AD"/>
    <w:rsid w:val="00C11AEA"/>
    <w:rsid w:val="00C12502"/>
    <w:rsid w:val="00C13E4F"/>
    <w:rsid w:val="00C16ECF"/>
    <w:rsid w:val="00C17B19"/>
    <w:rsid w:val="00C17C64"/>
    <w:rsid w:val="00C219FD"/>
    <w:rsid w:val="00C21E3D"/>
    <w:rsid w:val="00C24193"/>
    <w:rsid w:val="00C24545"/>
    <w:rsid w:val="00C26B3B"/>
    <w:rsid w:val="00C26C63"/>
    <w:rsid w:val="00C30693"/>
    <w:rsid w:val="00C30F23"/>
    <w:rsid w:val="00C31884"/>
    <w:rsid w:val="00C32466"/>
    <w:rsid w:val="00C3265D"/>
    <w:rsid w:val="00C32814"/>
    <w:rsid w:val="00C32EB0"/>
    <w:rsid w:val="00C33391"/>
    <w:rsid w:val="00C334BC"/>
    <w:rsid w:val="00C34EB5"/>
    <w:rsid w:val="00C35F83"/>
    <w:rsid w:val="00C360E1"/>
    <w:rsid w:val="00C40613"/>
    <w:rsid w:val="00C4065B"/>
    <w:rsid w:val="00C40AA5"/>
    <w:rsid w:val="00C40ECF"/>
    <w:rsid w:val="00C4101C"/>
    <w:rsid w:val="00C41213"/>
    <w:rsid w:val="00C413C9"/>
    <w:rsid w:val="00C46F70"/>
    <w:rsid w:val="00C476D0"/>
    <w:rsid w:val="00C5052B"/>
    <w:rsid w:val="00C5262F"/>
    <w:rsid w:val="00C55E61"/>
    <w:rsid w:val="00C56B2A"/>
    <w:rsid w:val="00C62616"/>
    <w:rsid w:val="00C63929"/>
    <w:rsid w:val="00C6434A"/>
    <w:rsid w:val="00C64555"/>
    <w:rsid w:val="00C64722"/>
    <w:rsid w:val="00C649D3"/>
    <w:rsid w:val="00C67B14"/>
    <w:rsid w:val="00C71F6A"/>
    <w:rsid w:val="00C7319A"/>
    <w:rsid w:val="00C73899"/>
    <w:rsid w:val="00C74398"/>
    <w:rsid w:val="00C7533D"/>
    <w:rsid w:val="00C777EF"/>
    <w:rsid w:val="00C82E1D"/>
    <w:rsid w:val="00C830B9"/>
    <w:rsid w:val="00C836E3"/>
    <w:rsid w:val="00C836FF"/>
    <w:rsid w:val="00C84C65"/>
    <w:rsid w:val="00C854DC"/>
    <w:rsid w:val="00C86577"/>
    <w:rsid w:val="00C91C02"/>
    <w:rsid w:val="00C92E07"/>
    <w:rsid w:val="00C9442B"/>
    <w:rsid w:val="00C94ECE"/>
    <w:rsid w:val="00C96868"/>
    <w:rsid w:val="00C969C9"/>
    <w:rsid w:val="00C9746D"/>
    <w:rsid w:val="00C979B9"/>
    <w:rsid w:val="00C979D1"/>
    <w:rsid w:val="00C97C09"/>
    <w:rsid w:val="00CA0416"/>
    <w:rsid w:val="00CA06D5"/>
    <w:rsid w:val="00CA11D4"/>
    <w:rsid w:val="00CA1247"/>
    <w:rsid w:val="00CA1370"/>
    <w:rsid w:val="00CA300D"/>
    <w:rsid w:val="00CA5734"/>
    <w:rsid w:val="00CA73B1"/>
    <w:rsid w:val="00CB083D"/>
    <w:rsid w:val="00CB0DA3"/>
    <w:rsid w:val="00CB0FA2"/>
    <w:rsid w:val="00CB115C"/>
    <w:rsid w:val="00CB18A8"/>
    <w:rsid w:val="00CB2CEC"/>
    <w:rsid w:val="00CB2DE3"/>
    <w:rsid w:val="00CB3F3E"/>
    <w:rsid w:val="00CB428D"/>
    <w:rsid w:val="00CB50B6"/>
    <w:rsid w:val="00CB6399"/>
    <w:rsid w:val="00CC01D3"/>
    <w:rsid w:val="00CC3764"/>
    <w:rsid w:val="00CC3A35"/>
    <w:rsid w:val="00CC40D4"/>
    <w:rsid w:val="00CC5468"/>
    <w:rsid w:val="00CC560B"/>
    <w:rsid w:val="00CC75E2"/>
    <w:rsid w:val="00CD086C"/>
    <w:rsid w:val="00CD1F89"/>
    <w:rsid w:val="00CD2695"/>
    <w:rsid w:val="00CD281E"/>
    <w:rsid w:val="00CD4243"/>
    <w:rsid w:val="00CD46EB"/>
    <w:rsid w:val="00CD6502"/>
    <w:rsid w:val="00CD700A"/>
    <w:rsid w:val="00CD7EBF"/>
    <w:rsid w:val="00CE2EBD"/>
    <w:rsid w:val="00CE3AA7"/>
    <w:rsid w:val="00CE494F"/>
    <w:rsid w:val="00CE59AA"/>
    <w:rsid w:val="00CE747D"/>
    <w:rsid w:val="00CF0E86"/>
    <w:rsid w:val="00CF181E"/>
    <w:rsid w:val="00CF3E61"/>
    <w:rsid w:val="00D00DFA"/>
    <w:rsid w:val="00D0164A"/>
    <w:rsid w:val="00D03041"/>
    <w:rsid w:val="00D056F1"/>
    <w:rsid w:val="00D06616"/>
    <w:rsid w:val="00D06673"/>
    <w:rsid w:val="00D1089E"/>
    <w:rsid w:val="00D10C4A"/>
    <w:rsid w:val="00D144D7"/>
    <w:rsid w:val="00D14D09"/>
    <w:rsid w:val="00D15A08"/>
    <w:rsid w:val="00D23DB6"/>
    <w:rsid w:val="00D24FFD"/>
    <w:rsid w:val="00D2625F"/>
    <w:rsid w:val="00D264B0"/>
    <w:rsid w:val="00D26572"/>
    <w:rsid w:val="00D3637A"/>
    <w:rsid w:val="00D37117"/>
    <w:rsid w:val="00D432D0"/>
    <w:rsid w:val="00D517D7"/>
    <w:rsid w:val="00D51A95"/>
    <w:rsid w:val="00D52306"/>
    <w:rsid w:val="00D52F5C"/>
    <w:rsid w:val="00D53CB6"/>
    <w:rsid w:val="00D53FD7"/>
    <w:rsid w:val="00D542AA"/>
    <w:rsid w:val="00D56EDC"/>
    <w:rsid w:val="00D6041D"/>
    <w:rsid w:val="00D60568"/>
    <w:rsid w:val="00D642B9"/>
    <w:rsid w:val="00D6666E"/>
    <w:rsid w:val="00D675C3"/>
    <w:rsid w:val="00D6766B"/>
    <w:rsid w:val="00D70C7A"/>
    <w:rsid w:val="00D729BC"/>
    <w:rsid w:val="00D72A29"/>
    <w:rsid w:val="00D75482"/>
    <w:rsid w:val="00D76271"/>
    <w:rsid w:val="00D76FAC"/>
    <w:rsid w:val="00D834E5"/>
    <w:rsid w:val="00D8442C"/>
    <w:rsid w:val="00D85819"/>
    <w:rsid w:val="00D86B40"/>
    <w:rsid w:val="00D92628"/>
    <w:rsid w:val="00D967A8"/>
    <w:rsid w:val="00D96988"/>
    <w:rsid w:val="00D96C9C"/>
    <w:rsid w:val="00D97A3E"/>
    <w:rsid w:val="00D97FE9"/>
    <w:rsid w:val="00DA0064"/>
    <w:rsid w:val="00DA0DBB"/>
    <w:rsid w:val="00DA10A8"/>
    <w:rsid w:val="00DA1A63"/>
    <w:rsid w:val="00DA32E6"/>
    <w:rsid w:val="00DA57E0"/>
    <w:rsid w:val="00DB0E58"/>
    <w:rsid w:val="00DB123A"/>
    <w:rsid w:val="00DB1E08"/>
    <w:rsid w:val="00DB229B"/>
    <w:rsid w:val="00DB2973"/>
    <w:rsid w:val="00DC0FBA"/>
    <w:rsid w:val="00DC196C"/>
    <w:rsid w:val="00DC1B56"/>
    <w:rsid w:val="00DC20CC"/>
    <w:rsid w:val="00DC2129"/>
    <w:rsid w:val="00DC2449"/>
    <w:rsid w:val="00DC6570"/>
    <w:rsid w:val="00DC738C"/>
    <w:rsid w:val="00DD0D83"/>
    <w:rsid w:val="00DD265C"/>
    <w:rsid w:val="00DD2916"/>
    <w:rsid w:val="00DD33BF"/>
    <w:rsid w:val="00DD3703"/>
    <w:rsid w:val="00DD38F7"/>
    <w:rsid w:val="00DD4C88"/>
    <w:rsid w:val="00DD6B02"/>
    <w:rsid w:val="00DE13E7"/>
    <w:rsid w:val="00DE31E2"/>
    <w:rsid w:val="00DE53C3"/>
    <w:rsid w:val="00DE54DC"/>
    <w:rsid w:val="00DE5528"/>
    <w:rsid w:val="00DE55BD"/>
    <w:rsid w:val="00DE5CC1"/>
    <w:rsid w:val="00DE6F2F"/>
    <w:rsid w:val="00DE70FD"/>
    <w:rsid w:val="00DE7D71"/>
    <w:rsid w:val="00DF1344"/>
    <w:rsid w:val="00DF21D3"/>
    <w:rsid w:val="00DF25C3"/>
    <w:rsid w:val="00DF46F7"/>
    <w:rsid w:val="00DF52DC"/>
    <w:rsid w:val="00DF5CFF"/>
    <w:rsid w:val="00DF68DD"/>
    <w:rsid w:val="00DF6DB2"/>
    <w:rsid w:val="00DF72BB"/>
    <w:rsid w:val="00E00DF8"/>
    <w:rsid w:val="00E04062"/>
    <w:rsid w:val="00E043AA"/>
    <w:rsid w:val="00E0579A"/>
    <w:rsid w:val="00E05B53"/>
    <w:rsid w:val="00E063C6"/>
    <w:rsid w:val="00E109EB"/>
    <w:rsid w:val="00E118ED"/>
    <w:rsid w:val="00E11EB3"/>
    <w:rsid w:val="00E122BF"/>
    <w:rsid w:val="00E13765"/>
    <w:rsid w:val="00E13D87"/>
    <w:rsid w:val="00E14D87"/>
    <w:rsid w:val="00E14EA0"/>
    <w:rsid w:val="00E1575A"/>
    <w:rsid w:val="00E16417"/>
    <w:rsid w:val="00E16A76"/>
    <w:rsid w:val="00E17545"/>
    <w:rsid w:val="00E2003B"/>
    <w:rsid w:val="00E2032B"/>
    <w:rsid w:val="00E214F5"/>
    <w:rsid w:val="00E21696"/>
    <w:rsid w:val="00E21999"/>
    <w:rsid w:val="00E23153"/>
    <w:rsid w:val="00E24CDF"/>
    <w:rsid w:val="00E25A9B"/>
    <w:rsid w:val="00E26887"/>
    <w:rsid w:val="00E279D8"/>
    <w:rsid w:val="00E30092"/>
    <w:rsid w:val="00E307E3"/>
    <w:rsid w:val="00E30F07"/>
    <w:rsid w:val="00E3157C"/>
    <w:rsid w:val="00E319B1"/>
    <w:rsid w:val="00E327A6"/>
    <w:rsid w:val="00E330BC"/>
    <w:rsid w:val="00E33F02"/>
    <w:rsid w:val="00E35F27"/>
    <w:rsid w:val="00E36175"/>
    <w:rsid w:val="00E36380"/>
    <w:rsid w:val="00E3684F"/>
    <w:rsid w:val="00E36ED9"/>
    <w:rsid w:val="00E41247"/>
    <w:rsid w:val="00E41553"/>
    <w:rsid w:val="00E41FA4"/>
    <w:rsid w:val="00E4562F"/>
    <w:rsid w:val="00E45B75"/>
    <w:rsid w:val="00E478E9"/>
    <w:rsid w:val="00E47D3B"/>
    <w:rsid w:val="00E47F8A"/>
    <w:rsid w:val="00E52DAF"/>
    <w:rsid w:val="00E5386C"/>
    <w:rsid w:val="00E5492F"/>
    <w:rsid w:val="00E550AA"/>
    <w:rsid w:val="00E572B1"/>
    <w:rsid w:val="00E57D87"/>
    <w:rsid w:val="00E61B33"/>
    <w:rsid w:val="00E6369A"/>
    <w:rsid w:val="00E63D69"/>
    <w:rsid w:val="00E67322"/>
    <w:rsid w:val="00E70A86"/>
    <w:rsid w:val="00E72505"/>
    <w:rsid w:val="00E72849"/>
    <w:rsid w:val="00E73E50"/>
    <w:rsid w:val="00E74E41"/>
    <w:rsid w:val="00E777EC"/>
    <w:rsid w:val="00E80FCD"/>
    <w:rsid w:val="00E810CC"/>
    <w:rsid w:val="00E815EB"/>
    <w:rsid w:val="00E84165"/>
    <w:rsid w:val="00E84F79"/>
    <w:rsid w:val="00E853C7"/>
    <w:rsid w:val="00E91A16"/>
    <w:rsid w:val="00E92CB0"/>
    <w:rsid w:val="00E92E6F"/>
    <w:rsid w:val="00EA0130"/>
    <w:rsid w:val="00EA0F56"/>
    <w:rsid w:val="00EA2226"/>
    <w:rsid w:val="00EA4667"/>
    <w:rsid w:val="00EA51FE"/>
    <w:rsid w:val="00EA59BB"/>
    <w:rsid w:val="00EA715A"/>
    <w:rsid w:val="00EA7DB0"/>
    <w:rsid w:val="00EA7F2F"/>
    <w:rsid w:val="00EB1F85"/>
    <w:rsid w:val="00EB297C"/>
    <w:rsid w:val="00EB3266"/>
    <w:rsid w:val="00EB3A98"/>
    <w:rsid w:val="00EB4455"/>
    <w:rsid w:val="00EB517D"/>
    <w:rsid w:val="00EB576F"/>
    <w:rsid w:val="00EB6590"/>
    <w:rsid w:val="00EC00DE"/>
    <w:rsid w:val="00EC21DF"/>
    <w:rsid w:val="00EC30E1"/>
    <w:rsid w:val="00EC3436"/>
    <w:rsid w:val="00EC3B70"/>
    <w:rsid w:val="00EC430E"/>
    <w:rsid w:val="00EC6344"/>
    <w:rsid w:val="00EC66BB"/>
    <w:rsid w:val="00ED172A"/>
    <w:rsid w:val="00ED4266"/>
    <w:rsid w:val="00ED603E"/>
    <w:rsid w:val="00ED7FA8"/>
    <w:rsid w:val="00EE01DC"/>
    <w:rsid w:val="00EE0426"/>
    <w:rsid w:val="00EE0ABD"/>
    <w:rsid w:val="00EE15DC"/>
    <w:rsid w:val="00EE231F"/>
    <w:rsid w:val="00EE349D"/>
    <w:rsid w:val="00EE3546"/>
    <w:rsid w:val="00EE4870"/>
    <w:rsid w:val="00EE5563"/>
    <w:rsid w:val="00EE76E1"/>
    <w:rsid w:val="00EF01E6"/>
    <w:rsid w:val="00EF044C"/>
    <w:rsid w:val="00EF05E0"/>
    <w:rsid w:val="00EF0FEB"/>
    <w:rsid w:val="00EF3603"/>
    <w:rsid w:val="00EF45C7"/>
    <w:rsid w:val="00EF4C35"/>
    <w:rsid w:val="00EF5027"/>
    <w:rsid w:val="00EF644E"/>
    <w:rsid w:val="00F01304"/>
    <w:rsid w:val="00F02323"/>
    <w:rsid w:val="00F034A2"/>
    <w:rsid w:val="00F03712"/>
    <w:rsid w:val="00F040BB"/>
    <w:rsid w:val="00F05130"/>
    <w:rsid w:val="00F06FA5"/>
    <w:rsid w:val="00F11558"/>
    <w:rsid w:val="00F139EE"/>
    <w:rsid w:val="00F14AB3"/>
    <w:rsid w:val="00F14BEC"/>
    <w:rsid w:val="00F159C1"/>
    <w:rsid w:val="00F2042B"/>
    <w:rsid w:val="00F210BF"/>
    <w:rsid w:val="00F224B7"/>
    <w:rsid w:val="00F225C5"/>
    <w:rsid w:val="00F2433A"/>
    <w:rsid w:val="00F2480C"/>
    <w:rsid w:val="00F2587A"/>
    <w:rsid w:val="00F311F0"/>
    <w:rsid w:val="00F332DA"/>
    <w:rsid w:val="00F33470"/>
    <w:rsid w:val="00F33906"/>
    <w:rsid w:val="00F34E02"/>
    <w:rsid w:val="00F34ED8"/>
    <w:rsid w:val="00F3715D"/>
    <w:rsid w:val="00F37A10"/>
    <w:rsid w:val="00F41AEA"/>
    <w:rsid w:val="00F420C8"/>
    <w:rsid w:val="00F42576"/>
    <w:rsid w:val="00F42A4C"/>
    <w:rsid w:val="00F42C96"/>
    <w:rsid w:val="00F526BD"/>
    <w:rsid w:val="00F562A6"/>
    <w:rsid w:val="00F60A13"/>
    <w:rsid w:val="00F61821"/>
    <w:rsid w:val="00F61CA6"/>
    <w:rsid w:val="00F62C1C"/>
    <w:rsid w:val="00F634A1"/>
    <w:rsid w:val="00F660D0"/>
    <w:rsid w:val="00F66A0C"/>
    <w:rsid w:val="00F73409"/>
    <w:rsid w:val="00F77F73"/>
    <w:rsid w:val="00F82197"/>
    <w:rsid w:val="00F8281A"/>
    <w:rsid w:val="00F86C31"/>
    <w:rsid w:val="00F960D5"/>
    <w:rsid w:val="00FA19AA"/>
    <w:rsid w:val="00FA23CC"/>
    <w:rsid w:val="00FA2880"/>
    <w:rsid w:val="00FA3261"/>
    <w:rsid w:val="00FA3C55"/>
    <w:rsid w:val="00FB2D60"/>
    <w:rsid w:val="00FB4C42"/>
    <w:rsid w:val="00FB5D6B"/>
    <w:rsid w:val="00FB7512"/>
    <w:rsid w:val="00FC045E"/>
    <w:rsid w:val="00FC1084"/>
    <w:rsid w:val="00FC17DD"/>
    <w:rsid w:val="00FC3B7F"/>
    <w:rsid w:val="00FC4964"/>
    <w:rsid w:val="00FC4977"/>
    <w:rsid w:val="00FC54C6"/>
    <w:rsid w:val="00FD0A92"/>
    <w:rsid w:val="00FD1195"/>
    <w:rsid w:val="00FD1FE4"/>
    <w:rsid w:val="00FD2B20"/>
    <w:rsid w:val="00FD4534"/>
    <w:rsid w:val="00FD744F"/>
    <w:rsid w:val="00FD7547"/>
    <w:rsid w:val="00FE1957"/>
    <w:rsid w:val="00FE287B"/>
    <w:rsid w:val="00FE6B50"/>
    <w:rsid w:val="00FF0652"/>
    <w:rsid w:val="00FF1B03"/>
    <w:rsid w:val="00FF3E26"/>
    <w:rsid w:val="00FF48A8"/>
    <w:rsid w:val="00FF55BA"/>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0DCF0E"/>
  <w15:docId w15:val="{62901F0E-C6BF-453E-9DDA-71ADEEFAB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3D0"/>
    <w:pPr>
      <w:widowControl w:val="0"/>
      <w:spacing w:before="100" w:beforeAutospacing="1" w:after="100" w:afterAutospacing="1"/>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442FCE"/>
    <w:pPr>
      <w:tabs>
        <w:tab w:val="right" w:leader="dot" w:pos="9060"/>
      </w:tabs>
      <w:spacing w:before="240" w:beforeAutospacing="0" w:after="240" w:afterAutospacing="0"/>
    </w:pPr>
    <w:rPr>
      <w:rFonts w:asciiTheme="minorHAnsi" w:hAnsiTheme="minorHAnsi" w:cstheme="minorHAnsi"/>
      <w:b/>
      <w:bCs/>
      <w:caps/>
      <w:sz w:val="20"/>
      <w:szCs w:val="20"/>
    </w:rPr>
  </w:style>
  <w:style w:type="paragraph" w:styleId="TOC2">
    <w:name w:val="toc 2"/>
    <w:basedOn w:val="Normal"/>
    <w:next w:val="Normal"/>
    <w:autoRedefine/>
    <w:uiPriority w:val="39"/>
    <w:rsid w:val="00DE53C3"/>
    <w:pPr>
      <w:tabs>
        <w:tab w:val="left" w:pos="880"/>
        <w:tab w:val="right" w:leader="dot" w:pos="9060"/>
      </w:tabs>
      <w:spacing w:before="0" w:beforeAutospacing="0" w:after="0" w:afterAutospacing="0"/>
      <w:ind w:left="227"/>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155DA4"/>
    <w:pPr>
      <w:spacing w:before="0" w:after="0"/>
      <w:ind w:left="440"/>
    </w:pPr>
    <w:rPr>
      <w:rFonts w:asciiTheme="minorHAnsi" w:hAnsiTheme="minorHAnsi" w:cstheme="minorHAnsi"/>
      <w:i/>
      <w:iCs/>
      <w:sz w:val="20"/>
      <w:szCs w:val="20"/>
    </w:rPr>
  </w:style>
  <w:style w:type="paragraph" w:styleId="TOC4">
    <w:name w:val="toc 4"/>
    <w:basedOn w:val="Normal"/>
    <w:next w:val="Normal"/>
    <w:autoRedefine/>
    <w:semiHidden/>
    <w:rsid w:val="00A318EB"/>
    <w:pPr>
      <w:spacing w:before="0" w:after="0"/>
      <w:ind w:left="660"/>
    </w:pPr>
    <w:rPr>
      <w:rFonts w:asciiTheme="minorHAnsi" w:hAnsiTheme="minorHAnsi" w:cstheme="minorHAnsi"/>
      <w:sz w:val="18"/>
      <w:szCs w:val="18"/>
    </w:rPr>
  </w:style>
  <w:style w:type="paragraph" w:styleId="TOC5">
    <w:name w:val="toc 5"/>
    <w:basedOn w:val="Normal"/>
    <w:next w:val="Normal"/>
    <w:autoRedefine/>
    <w:semiHidden/>
    <w:rsid w:val="00A318EB"/>
    <w:pPr>
      <w:spacing w:before="0" w:after="0"/>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spacing w:before="0" w:after="0"/>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spacing w:before="0" w:after="0"/>
      <w:ind w:left="1320"/>
    </w:pPr>
    <w:rPr>
      <w:rFonts w:asciiTheme="minorHAnsi" w:hAnsiTheme="minorHAnsi" w:cstheme="minorHAnsi"/>
      <w:sz w:val="18"/>
      <w:szCs w:val="18"/>
    </w:rPr>
  </w:style>
  <w:style w:type="paragraph" w:styleId="TOC8">
    <w:name w:val="toc 8"/>
    <w:basedOn w:val="Normal"/>
    <w:next w:val="Normal"/>
    <w:autoRedefine/>
    <w:semiHidden/>
    <w:rsid w:val="00A318EB"/>
    <w:pPr>
      <w:spacing w:before="0" w:after="0"/>
      <w:ind w:left="1540"/>
    </w:pPr>
    <w:rPr>
      <w:rFonts w:asciiTheme="minorHAnsi" w:hAnsiTheme="minorHAnsi" w:cstheme="minorHAnsi"/>
      <w:sz w:val="18"/>
      <w:szCs w:val="18"/>
    </w:rPr>
  </w:style>
  <w:style w:type="paragraph" w:styleId="TOC9">
    <w:name w:val="toc 9"/>
    <w:basedOn w:val="Normal"/>
    <w:next w:val="Normal"/>
    <w:autoRedefine/>
    <w:semiHidden/>
    <w:rsid w:val="00A318EB"/>
    <w:pPr>
      <w:spacing w:before="0" w:after="0"/>
      <w:ind w:left="1760"/>
    </w:pPr>
    <w:rPr>
      <w:rFonts w:asciiTheme="minorHAnsi" w:hAnsiTheme="minorHAnsi" w:cstheme="minorHAnsi"/>
      <w:sz w:val="18"/>
      <w:szCs w:val="18"/>
    </w:rPr>
  </w:style>
  <w:style w:type="paragraph" w:styleId="FootnoteText">
    <w:name w:val="footnote text"/>
    <w:aliases w:val="FSFootnote Text,Footnotes Text,FSFootnotes Text,Footnote Snez"/>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uiPriority w:val="6"/>
    <w:qFormat/>
    <w:rsid w:val="00EA2226"/>
    <w:pPr>
      <w:widowControl/>
      <w:numPr>
        <w:numId w:val="1"/>
      </w:numPr>
    </w:pPr>
    <w:rPr>
      <w:rFonts w:cs="Arial"/>
      <w:lang w:bidi="ar-SA"/>
    </w:rPr>
  </w:style>
  <w:style w:type="character" w:customStyle="1" w:styleId="FSBullet1Char">
    <w:name w:val="FSBullet 1 Char"/>
    <w:link w:val="FSBullet1"/>
    <w:uiPriority w:val="6"/>
    <w:rsid w:val="00EA2226"/>
    <w:rPr>
      <w:rFonts w:ascii="Arial" w:hAnsi="Arial" w:cs="Arial"/>
      <w:sz w:val="22"/>
      <w:szCs w:val="24"/>
      <w:lang w:eastAsia="en-US"/>
    </w:rPr>
  </w:style>
  <w:style w:type="paragraph" w:customStyle="1" w:styleId="FSBullet2">
    <w:name w:val="FSBullet 2"/>
    <w:basedOn w:val="Normal"/>
    <w:uiPriority w:val="6"/>
    <w:qFormat/>
    <w:rsid w:val="00DD265C"/>
    <w:pPr>
      <w:widowControl/>
      <w:numPr>
        <w:numId w:val="2"/>
      </w:numPr>
      <w:ind w:left="1134" w:hanging="567"/>
    </w:pPr>
    <w:rPr>
      <w:rFonts w:eastAsia="Calibri"/>
      <w:szCs w:val="22"/>
      <w:lang w:bidi="ar-SA"/>
    </w:rPr>
  </w:style>
  <w:style w:type="paragraph" w:customStyle="1" w:styleId="FSBullet3">
    <w:name w:val="FSBullet 3"/>
    <w:basedOn w:val="Normal"/>
    <w:uiPriority w:val="6"/>
    <w:qFormat/>
    <w:rsid w:val="0015187A"/>
    <w:pPr>
      <w:keepNext/>
      <w:widowControl/>
      <w:numPr>
        <w:numId w:val="3"/>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SFootnote Text Char,Footnotes Text Char,FSFootnotes Text Char,Footnote Snez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uiPriority w:val="99"/>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paragraph" w:styleId="ListParagraph">
    <w:name w:val="List Paragraph"/>
    <w:basedOn w:val="Normal"/>
    <w:uiPriority w:val="34"/>
    <w:qFormat/>
    <w:rsid w:val="00D26572"/>
    <w:pPr>
      <w:ind w:left="720"/>
      <w:contextualSpacing/>
    </w:pPr>
  </w:style>
  <w:style w:type="paragraph" w:styleId="NoSpacing">
    <w:name w:val="No Spacing"/>
    <w:uiPriority w:val="20"/>
    <w:rsid w:val="00A7422F"/>
    <w:pPr>
      <w:widowControl w:val="0"/>
    </w:pPr>
    <w:rPr>
      <w:rFonts w:ascii="Arial" w:hAnsi="Arial"/>
      <w:sz w:val="22"/>
      <w:szCs w:val="24"/>
      <w:lang w:eastAsia="en-US" w:bidi="en-US"/>
    </w:rPr>
  </w:style>
  <w:style w:type="paragraph" w:customStyle="1" w:styleId="AARBullet">
    <w:name w:val="AAR Bullet"/>
    <w:basedOn w:val="Normal"/>
    <w:qFormat/>
    <w:rsid w:val="00A7422F"/>
    <w:pPr>
      <w:widowControl/>
      <w:numPr>
        <w:numId w:val="6"/>
      </w:numPr>
      <w:spacing w:before="60" w:after="60"/>
    </w:pPr>
    <w:rPr>
      <w:rFonts w:cs="Arial"/>
      <w:sz w:val="20"/>
      <w:lang w:val="en-AU" w:bidi="ar-SA"/>
    </w:rPr>
  </w:style>
  <w:style w:type="table" w:customStyle="1" w:styleId="TableGrid2">
    <w:name w:val="Table Grid2"/>
    <w:basedOn w:val="TableNormal"/>
    <w:next w:val="TableGrid"/>
    <w:uiPriority w:val="59"/>
    <w:rsid w:val="00A742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stTable4-Accent3">
    <w:name w:val="List Table 4 Accent 3"/>
    <w:basedOn w:val="TableNormal"/>
    <w:uiPriority w:val="49"/>
    <w:rsid w:val="000B74E8"/>
    <w:rPr>
      <w:rFonts w:ascii="Arial" w:eastAsiaTheme="minorHAnsi" w:hAnsi="Arial" w:cs="Arial"/>
      <w:sz w:val="22"/>
      <w:szCs w:val="22"/>
      <w:lang w:val="en-AU"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Grid1">
    <w:name w:val="Table Grid1"/>
    <w:basedOn w:val="TableNormal"/>
    <w:next w:val="TableGrid"/>
    <w:uiPriority w:val="59"/>
    <w:rsid w:val="00DD4C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4-Accent31">
    <w:name w:val="List Table 4 - Accent 31"/>
    <w:basedOn w:val="TableNormal"/>
    <w:next w:val="ListTable4-Accent3"/>
    <w:uiPriority w:val="49"/>
    <w:rsid w:val="00296F37"/>
    <w:rPr>
      <w:rFonts w:ascii="Arial" w:eastAsia="Calibri" w:hAnsi="Arial" w:cs="Arial"/>
      <w:sz w:val="22"/>
      <w:szCs w:val="22"/>
      <w:lang w:val="en-AU"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tcBorders>
        <w:shd w:val="clear" w:color="auto" w:fill="9BBB59"/>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eGrid21">
    <w:name w:val="Table Grid21"/>
    <w:basedOn w:val="TableNormal"/>
    <w:next w:val="TableGrid"/>
    <w:uiPriority w:val="59"/>
    <w:rsid w:val="00502D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itaviBibliographyEntry">
    <w:name w:val="Citavi Bibliography Entry"/>
    <w:basedOn w:val="Normal"/>
    <w:link w:val="CitaviBibliographyEntryChar"/>
    <w:rsid w:val="001E12C0"/>
    <w:pPr>
      <w:tabs>
        <w:tab w:val="left" w:pos="397"/>
      </w:tabs>
      <w:spacing w:before="0" w:beforeAutospacing="0" w:after="0" w:afterAutospacing="0"/>
      <w:ind w:left="397" w:hanging="397"/>
    </w:pPr>
  </w:style>
  <w:style w:type="character" w:customStyle="1" w:styleId="CitaviBibliographyEntryChar">
    <w:name w:val="Citavi Bibliography Entry Char"/>
    <w:basedOn w:val="DefaultParagraphFont"/>
    <w:link w:val="CitaviBibliographyEntry"/>
    <w:rsid w:val="001E12C0"/>
    <w:rPr>
      <w:rFonts w:ascii="Arial" w:hAnsi="Arial"/>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327825397">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905842726">
      <w:bodyDiv w:val="1"/>
      <w:marLeft w:val="0"/>
      <w:marRight w:val="0"/>
      <w:marTop w:val="0"/>
      <w:marBottom w:val="0"/>
      <w:divBdr>
        <w:top w:val="none" w:sz="0" w:space="0" w:color="auto"/>
        <w:left w:val="none" w:sz="0" w:space="0" w:color="auto"/>
        <w:bottom w:val="none" w:sz="0" w:space="0" w:color="auto"/>
        <w:right w:val="none" w:sz="0" w:space="0" w:color="auto"/>
      </w:divBdr>
    </w:div>
    <w:div w:id="1378238804">
      <w:bodyDiv w:val="1"/>
      <w:marLeft w:val="0"/>
      <w:marRight w:val="0"/>
      <w:marTop w:val="0"/>
      <w:marBottom w:val="0"/>
      <w:divBdr>
        <w:top w:val="none" w:sz="0" w:space="0" w:color="auto"/>
        <w:left w:val="none" w:sz="0" w:space="0" w:color="auto"/>
        <w:bottom w:val="none" w:sz="0" w:space="0" w:color="auto"/>
        <w:right w:val="none" w:sz="0" w:space="0" w:color="auto"/>
      </w:divBdr>
    </w:div>
    <w:div w:id="1666129107">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www.fao.org/fao-who-codexalimentarius/sh-proxy/en/?lnk=1&amp;url=https%253A%252F%252Fworkspace.fao.org%252Fsites%252Fcodex%252FStandards%252FCXS%2B72-1981%252FCXS_072e.pdf"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yperlink" Target="https://eur-lex.europa.eu/legal-content/EN/TXT/PDF/?uri=CELEX:32019R0388&amp;rid=8" TargetMode="External"/><Relationship Id="rId2" Type="http://schemas.openxmlformats.org/officeDocument/2006/relationships/customXml" Target="../customXml/item2.xml"/><Relationship Id="rId16" Type="http://schemas.openxmlformats.org/officeDocument/2006/relationships/hyperlink" Target="https://www.foodstandards.gov.au/code/applications/Pages/A1233%20-2%E2%80%B2-FL-from-new-GM-source-for-infant-formula.aspx" TargetMode="External"/><Relationship Id="rId20" Type="http://schemas.openxmlformats.org/officeDocument/2006/relationships/hyperlink" Target="https://www.foodstandards.gov.au/code/applications/Pages/A1233%20-2%E2%80%B2-FL-from-new-GM-source-for-infant-formula.aspx" TargetMode="External"/><Relationship Id="rId29" Type="http://schemas.openxmlformats.org/officeDocument/2006/relationships/theme" Target="theme/theme1.xml"/><Relationship Id="rId1" Type="http://schemas.openxmlformats.org/officeDocument/2006/relationships/customXml" Target="../customXml/item1.xml"/><Relationship Id="rId24" Type="http://schemas.openxmlformats.org/officeDocument/2006/relationships/hyperlink" Target="https://www.foodstandards.govt.nz/code/applications/Pages/A1190.aspx" TargetMode="External"/><Relationship Id="rId11" Type="http://schemas.openxmlformats.org/officeDocument/2006/relationships/settings" Target="settings.xml"/><Relationship Id="rId28" Type="http://schemas.openxmlformats.org/officeDocument/2006/relationships/fontTable" Target="fontTable.xml"/><Relationship Id="rId15" Type="http://schemas.openxmlformats.org/officeDocument/2006/relationships/image" Target="media/image1.png"/><Relationship Id="rId23" Type="http://schemas.openxmlformats.org/officeDocument/2006/relationships/hyperlink" Target="https://www.foodstandards.gov.au/code/applications/Pages/A1155.aspx" TargetMode="External"/><Relationship Id="rId10" Type="http://schemas.openxmlformats.org/officeDocument/2006/relationships/styles" Target="styles.xml"/><Relationship Id="rId19" Type="http://schemas.openxmlformats.org/officeDocument/2006/relationships/header" Target="header1.xml"/><Relationship Id="rId27" Type="http://schemas.openxmlformats.org/officeDocument/2006/relationships/hyperlink" Target="http://www.legislation.gov.au" TargetMode="Externa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fao.org/fao-who-codexalimentarius/sh-proxy/en/?lnk=1&amp;url=https%253A%252F%252Fworkspace.fao.org%252Fsites%252Fcodex%252FStandards%252FCXS%2B156-1987%252FCXS_156e.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da.gov/media/115365/download" TargetMode="External"/><Relationship Id="rId2" Type="http://schemas.openxmlformats.org/officeDocument/2006/relationships/hyperlink" Target="https://eur-lex.europa.eu/legal-content/EN/TXT/?uri=CELEX:32017R2470" TargetMode="External"/><Relationship Id="rId1" Type="http://schemas.openxmlformats.org/officeDocument/2006/relationships/hyperlink" Target="https://eur-lex.europa.eu/legal-content/EN/TXT/HTML/?uri=CELEX:32019R0388&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C46A6BFCAFF41A48B1521F635017CDE6" ma:contentTypeVersion="45" ma:contentTypeDescription="FSANZ Record" ma:contentTypeScope="" ma:versionID="1ee5e3fb236b6854da1ca1a9d51ef239">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01df3bc849db87217bceafe434220394"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element ref="ns4:Attachement" minOccurs="0"/>
                <xsd:element ref="ns4:Abstract" minOccurs="0"/>
                <xsd:element ref="ns4:Agenda" minOccurs="0"/>
                <xsd:element ref="ns4:Hyperlink" minOccurs="0"/>
                <xsd:element ref="ns4:Lin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Attachement" ma:index="20" nillable="true" ma:displayName="Attachement" ma:default="1" ma:internalName="Attachement">
      <xsd:simpleType>
        <xsd:restriction base="dms:Boolean"/>
      </xsd:simpleType>
    </xsd:element>
    <xsd:element name="Abstract" ma:index="21" nillable="true" ma:displayName="Abstract" ma:internalName="Abstract">
      <xsd:simpleType>
        <xsd:restriction base="dms:Note">
          <xsd:maxLength value="255"/>
        </xsd:restriction>
      </xsd:simpleType>
    </xsd:element>
    <xsd:element name="Agenda" ma:index="22" nillable="true" ma:displayName="Agenda" ma:description="" ma:internalName="Agenda">
      <xsd:simpleType>
        <xsd:restriction base="dms:Note">
          <xsd:maxLength value="255"/>
        </xsd:restriction>
      </xsd:simpleType>
    </xsd:element>
    <xsd:element name="Hyperlink" ma:index="2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Links" ma:index="24" nillable="true" ma:displayName="Links" ma:internalName="Link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3387A-B0CD-4F2C-88C3-C6E48D5C9F98}"/>
</file>

<file path=customXml/itemProps2.xml><?xml version="1.0" encoding="utf-8"?>
<ds:datastoreItem xmlns:ds="http://schemas.openxmlformats.org/officeDocument/2006/customXml" ds:itemID="{3DFF9811-AECA-49C6-A9BC-9ADBF950679F}"/>
</file>

<file path=customXml/itemProps3.xml><?xml version="1.0" encoding="utf-8"?>
<ds:datastoreItem xmlns:ds="http://schemas.openxmlformats.org/officeDocument/2006/customXml" ds:itemID="{8D58945C-8A53-45CD-A99D-85691F66F573}"/>
</file>

<file path=customXml/itemProps4.xml><?xml version="1.0" encoding="utf-8"?>
<ds:datastoreItem xmlns:ds="http://schemas.openxmlformats.org/officeDocument/2006/customXml" ds:itemID="{9EF467CF-4847-43EF-AF02-401CE97E7C69}">
  <ds:schemaRefs>
    <ds:schemaRef ds:uri="http://schemas.microsoft.com/office/2006/metadata/customXsn"/>
  </ds:schemaRefs>
</ds:datastoreItem>
</file>

<file path=customXml/itemProps5.xml><?xml version="1.0" encoding="utf-8"?>
<ds:datastoreItem xmlns:ds="http://schemas.openxmlformats.org/officeDocument/2006/customXml" ds:itemID="{C48F65E6-A750-4F03-9ADC-E49E92C03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5759555f-5bed-45a4-a4c2-4e28e2623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DFF9811-AECA-49C6-A9BC-9ADBF950679F}">
  <ds:schemaRefs>
    <ds:schemaRef ds:uri="http://schemas.microsoft.com/sharepoint/v3/contenttype/forms"/>
  </ds:schemaRefs>
</ds:datastoreItem>
</file>

<file path=customXml/itemProps7.xml><?xml version="1.0" encoding="utf-8"?>
<ds:datastoreItem xmlns:ds="http://schemas.openxmlformats.org/officeDocument/2006/customXml" ds:itemID="{0673243C-6FCA-45CB-A955-EDF34294538B}"/>
</file>

<file path=customXml/itemProps8.xml><?xml version="1.0" encoding="utf-8"?>
<ds:datastoreItem xmlns:ds="http://schemas.openxmlformats.org/officeDocument/2006/customXml" ds:itemID="{096660CF-DEAA-4464-BA67-230191A704C5}"/>
</file>

<file path=docProps/app.xml><?xml version="1.0" encoding="utf-8"?>
<Properties xmlns="http://schemas.openxmlformats.org/officeDocument/2006/extended-properties" xmlns:vt="http://schemas.openxmlformats.org/officeDocument/2006/docPropsVTypes">
  <Template>Normal</Template>
  <TotalTime>1542</TotalTime>
  <Pages>33</Pages>
  <Words>10795</Words>
  <Characters>61536</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72187</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RyrieH</dc:creator>
  <cp:keywords/>
  <cp:lastModifiedBy>Tailee Vecchi</cp:lastModifiedBy>
  <cp:revision>103</cp:revision>
  <cp:lastPrinted>2022-04-08T08:49:00Z</cp:lastPrinted>
  <dcterms:created xsi:type="dcterms:W3CDTF">2022-04-04T06:21:00Z</dcterms:created>
  <dcterms:modified xsi:type="dcterms:W3CDTF">2022-05-04T01:27:00Z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c6f425cd-4456-45d0-a8f4-e838bb0998ca</vt:lpwstr>
  </property>
  <property fmtid="{D5CDD505-2E9C-101B-9397-08002B2CF9AE}" pid="3" name="docIndexRef">
    <vt:lpwstr>4bf55fad-0584-420f-881d-10bc0b9ead2c</vt:lpwstr>
  </property>
  <property fmtid="{D5CDD505-2E9C-101B-9397-08002B2CF9AE}" pid="4" name="bjSaver">
    <vt:lpwstr>LlgSMo3yJ+fkgNEgbtQQbG6KKfc49ivc</vt:lpwstr>
  </property>
  <property fmtid="{D5CDD505-2E9C-101B-9397-08002B2CF9AE}" pid="5" name="ContentTypeId">
    <vt:lpwstr>0x010100CB2FFA9FD6109347A9495CD5860AFAE6</vt:lpwstr>
  </property>
  <property fmtid="{D5CDD505-2E9C-101B-9397-08002B2CF9AE}" pid="6" name="DisposalClass">
    <vt:lpwstr/>
  </property>
  <property fmtid="{D5CDD505-2E9C-101B-9397-08002B2CF9AE}" pid="7" name="BCS_">
    <vt:lpwstr>35;#Evaluation|43bd8487-b9f6-4055-946c-a118d364275d</vt:lpwstr>
  </property>
  <property fmtid="{D5CDD505-2E9C-101B-9397-08002B2CF9AE}" pid="8" name="_dlc_DocIdItemGuid">
    <vt:lpwstr>4c738d40-6a1a-4c63-a809-919eae680174</vt:lpwstr>
  </property>
  <property fmtid="{D5CDD505-2E9C-101B-9397-08002B2CF9AE}" pid="9" name="RecordPoint_WorkflowType">
    <vt:lpwstr>ActiveSubmitStub</vt:lpwstr>
  </property>
  <property fmtid="{D5CDD505-2E9C-101B-9397-08002B2CF9AE}" pid="10" name="RecordPoint_ActiveItemUniqueId">
    <vt:lpwstr>{4c738d40-6a1a-4c63-a809-919eae680174}</vt:lpwstr>
  </property>
  <property fmtid="{D5CDD505-2E9C-101B-9397-08002B2CF9AE}" pid="11" name="RecordPoint_ActiveItemWebId">
    <vt:lpwstr>{0a24ff59-26de-499e-af6c-870128dbbd86}</vt:lpwstr>
  </property>
  <property fmtid="{D5CDD505-2E9C-101B-9397-08002B2CF9AE}" pid="12" name="RecordPoint_ActiveItemSiteId">
    <vt:lpwstr>{cec154f9-42c6-4481-9906-45443d426660}</vt:lpwstr>
  </property>
  <property fmtid="{D5CDD505-2E9C-101B-9397-08002B2CF9AE}" pid="13" name="RecordPoint_ActiveItemListId">
    <vt:lpwstr>{3a9826a6-ef3d-4704-849b-07726235ecc0}</vt:lpwstr>
  </property>
  <property fmtid="{D5CDD505-2E9C-101B-9397-08002B2CF9AE}" pid="14" name="RecordPoint_RecordNumberSubmitted">
    <vt:lpwstr>R0000205354</vt:lpwstr>
  </property>
  <property fmtid="{D5CDD505-2E9C-101B-9397-08002B2CF9AE}" pid="15" name="RecordPoint_SubmissionCompleted">
    <vt:lpwstr>2022-04-11T10:50:17.4573711+10:00</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20" name="bjDocumentLabelXML-0">
    <vt:lpwstr>ames.com/2008/01/sie/internal/label"&gt;&lt;element uid="66ddac19-06c4-4e63-b4dd-d8240d87a23f" value="" /&gt;&lt;/sisl&gt;</vt:lpwstr>
  </property>
  <property fmtid="{D5CDD505-2E9C-101B-9397-08002B2CF9AE}" pid="21" name="bjDocumentSecurityLabel">
    <vt:lpwstr>NO SECURITY CLASSIFICATION REQUIRED</vt:lpwstr>
  </property>
</Properties>
</file>